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05D558" w14:textId="780AA624" w:rsidR="00C33526" w:rsidRDefault="00046603" w:rsidP="00A07C48">
      <w:pPr>
        <w:tabs>
          <w:tab w:val="center" w:pos="4153"/>
          <w:tab w:val="right" w:pos="7371"/>
        </w:tabs>
        <w:spacing w:after="0"/>
        <w:rPr>
          <w:rFonts w:eastAsia="Times New Roman" w:cstheme="minorHAnsi"/>
          <w:lang w:eastAsia="el-GR"/>
        </w:rPr>
      </w:pPr>
      <w:r>
        <w:rPr>
          <w:rFonts w:ascii="Tahoma" w:hAnsi="Tahoma" w:cs="Tahoma"/>
          <w:sz w:val="16"/>
          <w:szCs w:val="16"/>
        </w:rPr>
        <w:tab/>
      </w:r>
      <w:r>
        <w:rPr>
          <w:rFonts w:ascii="Tahoma" w:hAnsi="Tahoma" w:cs="Tahoma"/>
          <w:sz w:val="16"/>
          <w:szCs w:val="16"/>
        </w:rPr>
        <w:tab/>
      </w:r>
      <w:r>
        <w:rPr>
          <w:rFonts w:ascii="Tahoma" w:hAnsi="Tahoma" w:cs="Tahoma"/>
          <w:sz w:val="16"/>
          <w:szCs w:val="16"/>
        </w:rPr>
        <w:tab/>
      </w:r>
    </w:p>
    <w:p w14:paraId="57613789" w14:textId="77777777" w:rsidR="00046603" w:rsidRDefault="00046603" w:rsidP="00EC6ECE">
      <w:pPr>
        <w:tabs>
          <w:tab w:val="center" w:pos="4153"/>
          <w:tab w:val="right" w:pos="7371"/>
        </w:tabs>
        <w:spacing w:after="0"/>
        <w:jc w:val="right"/>
        <w:rPr>
          <w:rFonts w:eastAsia="Times New Roman" w:cstheme="minorHAnsi"/>
          <w:lang w:eastAsia="el-GR"/>
        </w:rPr>
      </w:pPr>
    </w:p>
    <w:p w14:paraId="3D231661" w14:textId="77777777" w:rsidR="00046603" w:rsidRDefault="00046603" w:rsidP="00EC6ECE">
      <w:pPr>
        <w:tabs>
          <w:tab w:val="center" w:pos="4153"/>
          <w:tab w:val="right" w:pos="7371"/>
        </w:tabs>
        <w:spacing w:after="0"/>
        <w:jc w:val="right"/>
        <w:rPr>
          <w:rFonts w:eastAsia="Times New Roman" w:cstheme="minorHAnsi"/>
          <w:lang w:eastAsia="el-GR"/>
        </w:rPr>
      </w:pPr>
    </w:p>
    <w:p w14:paraId="044B547B" w14:textId="77777777" w:rsidR="000E2205" w:rsidRPr="00A07C48" w:rsidRDefault="000E2205" w:rsidP="00EC6ECE">
      <w:pPr>
        <w:tabs>
          <w:tab w:val="center" w:pos="4153"/>
          <w:tab w:val="right" w:pos="7371"/>
        </w:tabs>
        <w:spacing w:after="0"/>
        <w:jc w:val="right"/>
        <w:rPr>
          <w:rFonts w:eastAsia="Times New Roman" w:cstheme="minorHAnsi"/>
          <w:lang w:eastAsia="el-GR"/>
        </w:rPr>
      </w:pPr>
    </w:p>
    <w:p w14:paraId="4D89EE5F" w14:textId="77777777" w:rsidR="00EC6ECE" w:rsidRPr="00A07C48" w:rsidRDefault="00EC6ECE" w:rsidP="00F47480">
      <w:pPr>
        <w:widowControl w:val="0"/>
        <w:shd w:val="clear" w:color="auto" w:fill="EDEDED" w:themeFill="accent3" w:themeFillTint="33"/>
        <w:autoSpaceDE w:val="0"/>
        <w:autoSpaceDN w:val="0"/>
        <w:adjustRightInd w:val="0"/>
        <w:spacing w:after="0"/>
        <w:jc w:val="center"/>
        <w:rPr>
          <w:rFonts w:eastAsia="Times New Roman" w:cstheme="minorHAnsi"/>
          <w:b/>
          <w:bCs/>
          <w:u w:val="single"/>
        </w:rPr>
      </w:pPr>
    </w:p>
    <w:p w14:paraId="47861C6A" w14:textId="74CF39BD" w:rsidR="00F47480" w:rsidRPr="00C9524C" w:rsidRDefault="00EC6ECE" w:rsidP="00B45E88">
      <w:pPr>
        <w:widowControl w:val="0"/>
        <w:shd w:val="clear" w:color="auto" w:fill="EDEDED" w:themeFill="accent3" w:themeFillTint="33"/>
        <w:autoSpaceDE w:val="0"/>
        <w:autoSpaceDN w:val="0"/>
        <w:adjustRightInd w:val="0"/>
        <w:spacing w:after="0" w:line="360" w:lineRule="auto"/>
        <w:jc w:val="center"/>
        <w:rPr>
          <w:rFonts w:eastAsia="Times New Roman" w:cstheme="minorHAnsi"/>
          <w:b/>
          <w:bCs/>
          <w:color w:val="2E74B5" w:themeColor="accent1" w:themeShade="BF"/>
          <w:sz w:val="28"/>
          <w:szCs w:val="28"/>
        </w:rPr>
      </w:pPr>
      <w:r w:rsidRPr="00C9524C">
        <w:rPr>
          <w:rFonts w:eastAsia="Times New Roman" w:cstheme="minorHAnsi"/>
          <w:b/>
          <w:bCs/>
          <w:color w:val="2E74B5" w:themeColor="accent1" w:themeShade="BF"/>
          <w:sz w:val="28"/>
          <w:szCs w:val="28"/>
        </w:rPr>
        <w:t>ΔΕΛΤΙΟ ΤΥΠΟΥ</w:t>
      </w:r>
      <w:r w:rsidR="00F47480" w:rsidRPr="00C9524C">
        <w:rPr>
          <w:rFonts w:eastAsia="Times New Roman" w:cstheme="minorHAnsi"/>
          <w:b/>
          <w:bCs/>
          <w:color w:val="2E74B5" w:themeColor="accent1" w:themeShade="BF"/>
          <w:sz w:val="28"/>
          <w:szCs w:val="28"/>
        </w:rPr>
        <w:t xml:space="preserve"> </w:t>
      </w:r>
    </w:p>
    <w:p w14:paraId="2FE09628" w14:textId="0501FDD7" w:rsidR="00F47480" w:rsidRPr="00C9524C" w:rsidRDefault="00F47480" w:rsidP="00B45E88">
      <w:pPr>
        <w:widowControl w:val="0"/>
        <w:shd w:val="clear" w:color="auto" w:fill="EDEDED" w:themeFill="accent3" w:themeFillTint="33"/>
        <w:autoSpaceDE w:val="0"/>
        <w:autoSpaceDN w:val="0"/>
        <w:adjustRightInd w:val="0"/>
        <w:spacing w:after="0" w:line="360" w:lineRule="auto"/>
        <w:jc w:val="center"/>
        <w:rPr>
          <w:rFonts w:eastAsia="Times New Roman" w:cstheme="minorHAnsi"/>
          <w:b/>
          <w:bCs/>
          <w:color w:val="2E74B5" w:themeColor="accent1" w:themeShade="BF"/>
          <w:sz w:val="28"/>
          <w:szCs w:val="28"/>
        </w:rPr>
      </w:pPr>
      <w:r w:rsidRPr="00C9524C">
        <w:rPr>
          <w:rFonts w:eastAsia="Times New Roman" w:cstheme="minorHAnsi"/>
          <w:b/>
          <w:bCs/>
          <w:color w:val="2E74B5" w:themeColor="accent1" w:themeShade="BF"/>
          <w:sz w:val="28"/>
          <w:szCs w:val="28"/>
        </w:rPr>
        <w:t>Παρουσίαση Μελέτης ΙΟΒΕ</w:t>
      </w:r>
    </w:p>
    <w:p w14:paraId="06FB9D98" w14:textId="58F4A51C" w:rsidR="000E2205" w:rsidRPr="000E2205" w:rsidRDefault="00EC6ECE" w:rsidP="000E2205">
      <w:pPr>
        <w:shd w:val="clear" w:color="auto" w:fill="EDEDED" w:themeFill="accent3" w:themeFillTint="33"/>
        <w:spacing w:line="360" w:lineRule="auto"/>
        <w:jc w:val="center"/>
        <w:rPr>
          <w:b/>
          <w:color w:val="2E74B5" w:themeColor="accent1" w:themeShade="BF"/>
          <w:sz w:val="24"/>
          <w:szCs w:val="24"/>
        </w:rPr>
      </w:pPr>
      <w:r w:rsidRPr="00C9524C">
        <w:rPr>
          <w:b/>
          <w:color w:val="2E74B5" w:themeColor="accent1" w:themeShade="BF"/>
          <w:sz w:val="24"/>
          <w:szCs w:val="24"/>
        </w:rPr>
        <w:t>«</w:t>
      </w:r>
      <w:r w:rsidR="0021740F" w:rsidRPr="00C9524C">
        <w:rPr>
          <w:b/>
          <w:color w:val="2E74B5" w:themeColor="accent1" w:themeShade="BF"/>
          <w:sz w:val="24"/>
          <w:szCs w:val="24"/>
        </w:rPr>
        <w:t>Τάσεις, προκλήσεις και π</w:t>
      </w:r>
      <w:r w:rsidRPr="00C9524C">
        <w:rPr>
          <w:b/>
          <w:color w:val="2E74B5" w:themeColor="accent1" w:themeShade="BF"/>
          <w:sz w:val="24"/>
          <w:szCs w:val="24"/>
        </w:rPr>
        <w:t>ροοπτικές ανάπτυξης των Κατασκευών</w:t>
      </w:r>
      <w:r w:rsidR="00F84407" w:rsidRPr="00C9524C">
        <w:rPr>
          <w:b/>
          <w:color w:val="2E74B5" w:themeColor="accent1" w:themeShade="BF"/>
          <w:sz w:val="24"/>
          <w:szCs w:val="24"/>
        </w:rPr>
        <w:t xml:space="preserve"> στην Ελλάδα</w:t>
      </w:r>
      <w:r w:rsidRPr="00C9524C">
        <w:rPr>
          <w:b/>
          <w:color w:val="2E74B5" w:themeColor="accent1" w:themeShade="BF"/>
          <w:sz w:val="24"/>
          <w:szCs w:val="24"/>
        </w:rPr>
        <w:t>»</w:t>
      </w:r>
    </w:p>
    <w:p w14:paraId="609F39E9" w14:textId="77777777" w:rsidR="000E2205" w:rsidRDefault="000E2205" w:rsidP="00131CA5">
      <w:pPr>
        <w:spacing w:line="240" w:lineRule="auto"/>
        <w:jc w:val="both"/>
        <w:rPr>
          <w:b/>
          <w:bCs/>
        </w:rPr>
      </w:pPr>
    </w:p>
    <w:p w14:paraId="4D89EE64" w14:textId="61DFC541" w:rsidR="00BE63D4" w:rsidRPr="00F47480" w:rsidRDefault="00C9524C" w:rsidP="00131CA5">
      <w:pPr>
        <w:spacing w:line="240" w:lineRule="auto"/>
        <w:jc w:val="both"/>
        <w:rPr>
          <w:iCs/>
        </w:rPr>
      </w:pPr>
      <w:r w:rsidRPr="00C9524C">
        <w:rPr>
          <w:b/>
          <w:bCs/>
        </w:rPr>
        <w:t>Αθήνα, 27 Μαρτίου 2024</w:t>
      </w:r>
      <w:r>
        <w:t xml:space="preserve"> - </w:t>
      </w:r>
      <w:r w:rsidR="00BA6652">
        <w:t xml:space="preserve">Τη δυναμική </w:t>
      </w:r>
      <w:r w:rsidR="00BE63D4">
        <w:t xml:space="preserve">του τομέα των </w:t>
      </w:r>
      <w:r w:rsidR="00BE63D4" w:rsidRPr="00BE63D4">
        <w:rPr>
          <w:b/>
        </w:rPr>
        <w:t>Κατασκευών</w:t>
      </w:r>
      <w:r w:rsidR="00BE63D4">
        <w:t xml:space="preserve"> στην </w:t>
      </w:r>
      <w:r w:rsidR="00BE63D4" w:rsidRPr="00BE63D4">
        <w:rPr>
          <w:b/>
        </w:rPr>
        <w:t>Ελλάδα</w:t>
      </w:r>
      <w:r w:rsidR="00BE63D4">
        <w:t xml:space="preserve"> </w:t>
      </w:r>
      <w:r w:rsidR="00B50BB5">
        <w:t xml:space="preserve">και τις ισχυρές προοπτικές ανάπτυξης για </w:t>
      </w:r>
      <w:r w:rsidR="006F1219">
        <w:t>τα επόμενα χρόνια</w:t>
      </w:r>
      <w:r w:rsidR="00BA613B">
        <w:t>,</w:t>
      </w:r>
      <w:r w:rsidR="006F1219">
        <w:t xml:space="preserve"> </w:t>
      </w:r>
      <w:r w:rsidR="00323B2D">
        <w:t>αποτυπώνει</w:t>
      </w:r>
      <w:r w:rsidR="00BE63D4">
        <w:t xml:space="preserve"> μελέτη του </w:t>
      </w:r>
      <w:r w:rsidR="00BE63D4" w:rsidRPr="00BE63D4">
        <w:rPr>
          <w:b/>
        </w:rPr>
        <w:t>Ιδρύματος Οικονομικών και Βιομηχανικών Ερευνών (ΙΟΒΕ)</w:t>
      </w:r>
      <w:r w:rsidR="00BE63D4">
        <w:t xml:space="preserve"> με τίτλο </w:t>
      </w:r>
      <w:r w:rsidR="00BE63D4" w:rsidRPr="00F47480">
        <w:rPr>
          <w:iCs/>
        </w:rPr>
        <w:t>«</w:t>
      </w:r>
      <w:r w:rsidR="00F84407" w:rsidRPr="00A07C48">
        <w:rPr>
          <w:b/>
          <w:bCs/>
          <w:iCs/>
        </w:rPr>
        <w:t>Τάσεις, προκλήσεις και προοπτικές ανάπτυξης των Κατασκευών στην Ελλάδα</w:t>
      </w:r>
      <w:r w:rsidR="0000060E" w:rsidRPr="00F47480">
        <w:rPr>
          <w:iCs/>
        </w:rPr>
        <w:t>»</w:t>
      </w:r>
      <w:r w:rsidR="00BE63D4" w:rsidRPr="00F47480">
        <w:rPr>
          <w:iCs/>
        </w:rPr>
        <w:t>.</w:t>
      </w:r>
    </w:p>
    <w:p w14:paraId="4D89EE65" w14:textId="64F46E57" w:rsidR="00BE63D4" w:rsidRPr="00591C48" w:rsidRDefault="00BE63D4" w:rsidP="00131CA5">
      <w:pPr>
        <w:spacing w:line="240" w:lineRule="auto"/>
        <w:jc w:val="both"/>
      </w:pPr>
      <w:r>
        <w:t>Η μελέτη</w:t>
      </w:r>
      <w:r w:rsidR="004363FD">
        <w:t xml:space="preserve"> </w:t>
      </w:r>
      <w:r w:rsidR="004C7CF5">
        <w:t xml:space="preserve">που </w:t>
      </w:r>
      <w:r w:rsidR="004363FD">
        <w:t>π</w:t>
      </w:r>
      <w:r>
        <w:t xml:space="preserve">αρουσιάστηκε σήμερα σε </w:t>
      </w:r>
      <w:r w:rsidR="004C7CF5">
        <w:t xml:space="preserve">ειδική εκδήλωση </w:t>
      </w:r>
      <w:r w:rsidR="00A50D44">
        <w:t xml:space="preserve">που διοργάνωσαν το </w:t>
      </w:r>
      <w:r w:rsidR="00F47480" w:rsidRPr="00F47480">
        <w:rPr>
          <w:b/>
          <w:bCs/>
        </w:rPr>
        <w:t xml:space="preserve">Ταμείο Μηχανικών Εργοληπτών Δημοσίων Έργων - </w:t>
      </w:r>
      <w:r w:rsidR="00A50D44" w:rsidRPr="00F47480">
        <w:rPr>
          <w:b/>
          <w:bCs/>
        </w:rPr>
        <w:t>ΤΜΕΔΕ</w:t>
      </w:r>
      <w:r w:rsidR="00A50D44">
        <w:t xml:space="preserve"> και το </w:t>
      </w:r>
      <w:r w:rsidR="00A50D44" w:rsidRPr="00F47480">
        <w:rPr>
          <w:b/>
          <w:bCs/>
        </w:rPr>
        <w:t>ΙΟΒΕ</w:t>
      </w:r>
      <w:r w:rsidR="00B50BB5">
        <w:t>,</w:t>
      </w:r>
      <w:r w:rsidR="00A50D44">
        <w:t xml:space="preserve"> </w:t>
      </w:r>
      <w:r w:rsidR="006776ED">
        <w:t>καταγράφει τη μεγάλη ανάπτυξη που έχει σημειώσει ο κλάδος των κατασκευών</w:t>
      </w:r>
      <w:r w:rsidR="00131CA5">
        <w:t xml:space="preserve">, με αύξηση του αντικειμένου κατά </w:t>
      </w:r>
      <w:r w:rsidR="00707F62" w:rsidRPr="00C9524C">
        <w:rPr>
          <w:b/>
          <w:bCs/>
        </w:rPr>
        <w:t>84</w:t>
      </w:r>
      <w:r w:rsidR="00131CA5" w:rsidRPr="00C9524C">
        <w:rPr>
          <w:b/>
          <w:bCs/>
        </w:rPr>
        <w:t>%</w:t>
      </w:r>
      <w:r w:rsidR="006776ED">
        <w:t xml:space="preserve"> </w:t>
      </w:r>
      <w:r w:rsidR="00DA7C04">
        <w:t>από το 2017 μέχρι σήμερα</w:t>
      </w:r>
      <w:r w:rsidR="00A50D44">
        <w:t>.</w:t>
      </w:r>
      <w:r w:rsidR="00DA7C04">
        <w:t xml:space="preserve"> </w:t>
      </w:r>
      <w:r w:rsidR="00A50D44">
        <w:t>Παράλληλα</w:t>
      </w:r>
      <w:r w:rsidR="004046F0">
        <w:t>,</w:t>
      </w:r>
      <w:r w:rsidR="00DA7C04">
        <w:t xml:space="preserve"> υπ</w:t>
      </w:r>
      <w:r w:rsidR="00C14805">
        <w:t>ογ</w:t>
      </w:r>
      <w:r w:rsidR="00DA7C04">
        <w:t xml:space="preserve">ραμμίζει </w:t>
      </w:r>
      <w:r w:rsidR="00D2267B">
        <w:t xml:space="preserve">τις μεγάλες προσδοκίες για την περαιτέρω ανάπτυξη του κλάδου </w:t>
      </w:r>
      <w:r w:rsidR="004046F0">
        <w:t xml:space="preserve">τα επόμενα χρόνια </w:t>
      </w:r>
      <w:r w:rsidR="006E5DB8">
        <w:t xml:space="preserve">με ώθηση </w:t>
      </w:r>
      <w:r w:rsidR="00801FC4">
        <w:t xml:space="preserve">από </w:t>
      </w:r>
      <w:r w:rsidR="00021A2B">
        <w:t xml:space="preserve">τους </w:t>
      </w:r>
      <w:r w:rsidR="005F5D20">
        <w:t>υψηλούς</w:t>
      </w:r>
      <w:r w:rsidR="00021A2B">
        <w:t xml:space="preserve"> εθνικούς και ευρωπαϊκούς πόρους</w:t>
      </w:r>
      <w:r w:rsidR="00D02DBF">
        <w:t>. Όπως εκτιμά το ΙΟΒΕ</w:t>
      </w:r>
      <w:r w:rsidR="00F47480">
        <w:t>,</w:t>
      </w:r>
      <w:r w:rsidR="00021A2B">
        <w:t xml:space="preserve"> </w:t>
      </w:r>
      <w:r w:rsidR="00E32133">
        <w:t>τα έργα στο πλαίσιο του Ταμείου Ανά</w:t>
      </w:r>
      <w:r w:rsidR="00247732">
        <w:t>καμψης και Ανθεκτικότητας (ΤΑΑ)</w:t>
      </w:r>
      <w:r w:rsidR="00795BB6">
        <w:t xml:space="preserve"> και</w:t>
      </w:r>
      <w:r w:rsidR="00AC4E11">
        <w:t xml:space="preserve"> οι πόροι του ΕΣΠΑ 2021 </w:t>
      </w:r>
      <w:r w:rsidR="00795BB6">
        <w:t>–</w:t>
      </w:r>
      <w:r w:rsidR="00AC4E11">
        <w:t xml:space="preserve"> 2027</w:t>
      </w:r>
      <w:r w:rsidR="0007177B">
        <w:t xml:space="preserve"> σε συνδυασμό με τις ιδιωτικές επενδύσεις</w:t>
      </w:r>
      <w:r w:rsidR="00591C48" w:rsidRPr="00591C48">
        <w:t xml:space="preserve"> (</w:t>
      </w:r>
      <w:r w:rsidR="00A6488E">
        <w:t xml:space="preserve">περιλαμβάνοντας τις </w:t>
      </w:r>
      <w:r w:rsidR="00D65ACD">
        <w:t>επενδύσεις σε κατοικίες</w:t>
      </w:r>
      <w:r w:rsidR="00C815FB">
        <w:t>)</w:t>
      </w:r>
      <w:r w:rsidR="00795BB6">
        <w:t xml:space="preserve"> </w:t>
      </w:r>
      <w:r w:rsidR="009B6BEC">
        <w:t xml:space="preserve">θα κινητοποιήσουν </w:t>
      </w:r>
      <w:r w:rsidR="0007177B">
        <w:t>κατά την</w:t>
      </w:r>
      <w:r w:rsidR="009B6BEC">
        <w:t xml:space="preserve"> περίοδο 202</w:t>
      </w:r>
      <w:r w:rsidR="00131CA5">
        <w:t>4</w:t>
      </w:r>
      <w:r w:rsidR="009B6BEC">
        <w:t xml:space="preserve"> – 2026 </w:t>
      </w:r>
      <w:r w:rsidR="004A2EAC">
        <w:t xml:space="preserve">συνολικά </w:t>
      </w:r>
      <w:r w:rsidR="00DA36D8">
        <w:t xml:space="preserve">πόρους άνω των </w:t>
      </w:r>
      <w:r w:rsidR="00131CA5">
        <w:t xml:space="preserve">52 </w:t>
      </w:r>
      <w:r w:rsidR="00DA36D8">
        <w:t>δι</w:t>
      </w:r>
      <w:r w:rsidR="00D25D64">
        <w:t>σ</w:t>
      </w:r>
      <w:r w:rsidR="00DA36D8">
        <w:t>. ευρώ</w:t>
      </w:r>
      <w:r w:rsidR="00E72C00">
        <w:t>, συμπεριλαμβ</w:t>
      </w:r>
      <w:r w:rsidR="00B33D3C">
        <w:t xml:space="preserve">ανόμενης </w:t>
      </w:r>
      <w:r w:rsidR="005F5D20">
        <w:t xml:space="preserve">και </w:t>
      </w:r>
      <w:r w:rsidR="00B33D3C">
        <w:t>της τραπεζικής χρηματοδότησης</w:t>
      </w:r>
      <w:r w:rsidR="00DA36D8">
        <w:t>.</w:t>
      </w:r>
    </w:p>
    <w:p w14:paraId="4D89EE66" w14:textId="75F51539" w:rsidR="00B53DBB" w:rsidRPr="000075D2" w:rsidRDefault="00B22F36" w:rsidP="00131CA5">
      <w:pPr>
        <w:spacing w:line="240" w:lineRule="auto"/>
        <w:jc w:val="both"/>
      </w:pPr>
      <w:r>
        <w:t xml:space="preserve">Έτσι </w:t>
      </w:r>
      <w:r w:rsidRPr="00B22F36">
        <w:t>οι επενδύσεις σε Κατασκευές –κυρίως στις υποδομές– εκτιμάται ότι θα ενισχύσουν σημαντικά το μερίδιό τους στο ΑΕΠ την περίοδο 2024</w:t>
      </w:r>
      <w:r w:rsidR="00C9524C">
        <w:t xml:space="preserve"> </w:t>
      </w:r>
      <w:r w:rsidRPr="00B22F36">
        <w:t>-</w:t>
      </w:r>
      <w:r w:rsidR="00C9524C">
        <w:t xml:space="preserve"> </w:t>
      </w:r>
      <w:r w:rsidRPr="00B22F36">
        <w:t>2026.</w:t>
      </w:r>
    </w:p>
    <w:p w14:paraId="0E892EEE" w14:textId="0B20B5D8" w:rsidR="00E34D4A" w:rsidRPr="00C03F50" w:rsidRDefault="00171477" w:rsidP="00131CA5">
      <w:pPr>
        <w:spacing w:line="240" w:lineRule="auto"/>
        <w:jc w:val="both"/>
      </w:pPr>
      <w:r w:rsidRPr="00C9524C">
        <w:t xml:space="preserve">Ο </w:t>
      </w:r>
      <w:r w:rsidRPr="00C9524C">
        <w:rPr>
          <w:b/>
          <w:bCs/>
        </w:rPr>
        <w:t xml:space="preserve">Πρόεδρος του ΤΜΕΔΕ, κ. Κωνσταντίνος </w:t>
      </w:r>
      <w:proofErr w:type="spellStart"/>
      <w:r w:rsidRPr="00C9524C">
        <w:rPr>
          <w:b/>
          <w:bCs/>
        </w:rPr>
        <w:t>Μακέδος</w:t>
      </w:r>
      <w:proofErr w:type="spellEnd"/>
      <w:r w:rsidRPr="00C9524C">
        <w:t xml:space="preserve">, </w:t>
      </w:r>
      <w:r w:rsidR="00C9524C" w:rsidRPr="00C9524C">
        <w:t xml:space="preserve">κατά τη διάρκεια της τοποθέτησής του </w:t>
      </w:r>
      <w:r w:rsidR="001D2B37" w:rsidRPr="00C9524C">
        <w:t xml:space="preserve">στην εκδήλωση παρουσίασης της μελέτης </w:t>
      </w:r>
      <w:r w:rsidRPr="00C9524C">
        <w:t>σημείωσε ότι</w:t>
      </w:r>
      <w:r w:rsidR="00C9524C">
        <w:t xml:space="preserve"> </w:t>
      </w:r>
      <w:r w:rsidR="00C03F50" w:rsidRPr="00C03F50">
        <w:rPr>
          <w:i/>
          <w:iCs/>
        </w:rPr>
        <w:t>«η ανάπτυξη της οικονομίας προσφέρει μια νέα ευκαιρία για τον Τεχνικό κόσμο. Μια ευκαιρία που αποτελεί και ευθύνη καθώς,, όλοι οφείλουμε να ανταπεξέλθουμε στην υλοποίηση των έργων που σχεδιάζονται και υλοποιούνται, ώστε να δημιουργήσουμε ένα βιώσιμο αναπτυξιακό και επενδυτικό περιβάλλον. Τα στοιχεία δείχνουν ότι ο Τεχνικός Κόσμος, πέραν από τις όποιες προκλήσεις, γνωρίζει πως να χαρτογραφήσει το τοπίο που διαμορφώνεται και να εντοπίσει τις ευκαιρίες και μπορεί να ανταποκριθεί αποτελεσματικά στη νέα πραγματικότητα. Είναι στο χέρι μας, να αξιοποιήσουμε την ευκαιρία του μέλλοντος και να τη συγχρονίσουμε με τη γνώση και την εμπειρία του παρελθόντος, προκειμένου να τοποθετήσουμε τον τεχνικό κόσμο και τη χώρα μας σε μία πορεία ανθεκτικότητας και προόδου. Να γίνουμε, για μία ακόμα φορά, πολλαπλασιαστές της ανάπτυξης και της ευημερίας, με βιώσιμους όρους».</w:t>
      </w:r>
    </w:p>
    <w:p w14:paraId="559E6749" w14:textId="0528445C" w:rsidR="00E34D4A" w:rsidRPr="00325945" w:rsidRDefault="00171477" w:rsidP="00131CA5">
      <w:pPr>
        <w:spacing w:line="240" w:lineRule="auto"/>
        <w:jc w:val="both"/>
      </w:pPr>
      <w:r w:rsidRPr="00171477">
        <w:t xml:space="preserve">Ο </w:t>
      </w:r>
      <w:r w:rsidRPr="00A07C48">
        <w:rPr>
          <w:b/>
          <w:bCs/>
        </w:rPr>
        <w:t xml:space="preserve">Γενικός Διευθυντής του ΙΟΒΕ, Καθηγητής Οικονομικού Πανεπιστημίου Αθηνών, κ. Νίκος </w:t>
      </w:r>
      <w:proofErr w:type="spellStart"/>
      <w:r w:rsidRPr="00A07C48">
        <w:rPr>
          <w:b/>
          <w:bCs/>
        </w:rPr>
        <w:t>Βέττας</w:t>
      </w:r>
      <w:proofErr w:type="spellEnd"/>
      <w:r w:rsidRPr="00171477">
        <w:t>, αναφέρθηκε</w:t>
      </w:r>
      <w:r w:rsidR="00325945" w:rsidRPr="00A07C48">
        <w:t xml:space="preserve"> </w:t>
      </w:r>
      <w:r w:rsidR="00325945" w:rsidRPr="00325945">
        <w:t>στη σημασία που έχει η συστηματική ανάκαμψη των κατασκευών στο συνολικό αναπτυξιακό μείγμα της ελληνικής οικονομίας</w:t>
      </w:r>
      <w:r w:rsidR="00325945" w:rsidRPr="00A07C48">
        <w:t xml:space="preserve"> </w:t>
      </w:r>
      <w:r w:rsidR="00325945" w:rsidRPr="00325945">
        <w:t>και στην ευκαιρία που δίνεται</w:t>
      </w:r>
      <w:r w:rsidR="00D52637">
        <w:t>,</w:t>
      </w:r>
      <w:r w:rsidR="00325945" w:rsidRPr="00325945">
        <w:t xml:space="preserve"> μέσω της νέας μελέτης</w:t>
      </w:r>
      <w:r w:rsidR="00D52637">
        <w:t>,</w:t>
      </w:r>
      <w:r w:rsidR="00325945" w:rsidRPr="00325945">
        <w:t xml:space="preserve"> να καταγραφούν οι τάσεις αλλά κυρίως οι όροι</w:t>
      </w:r>
      <w:r w:rsidR="00325945" w:rsidRPr="00A07C48">
        <w:t xml:space="preserve">, </w:t>
      </w:r>
      <w:r w:rsidR="00325945" w:rsidRPr="00325945">
        <w:t xml:space="preserve">χρηματοδοτικά και </w:t>
      </w:r>
      <w:r w:rsidR="00325945">
        <w:t>σε επίπεδο παραγωγικού δυναμικού</w:t>
      </w:r>
      <w:r w:rsidR="00325945" w:rsidRPr="00A07C48">
        <w:t xml:space="preserve">, </w:t>
      </w:r>
      <w:r w:rsidR="00325945" w:rsidRPr="00325945">
        <w:t>ώστε οι θετικές</w:t>
      </w:r>
      <w:r w:rsidR="00325945">
        <w:t xml:space="preserve"> προοπτικές να ευοδωθούν. </w:t>
      </w:r>
    </w:p>
    <w:p w14:paraId="347DF052" w14:textId="77777777" w:rsidR="00C9524C" w:rsidRDefault="00C9524C" w:rsidP="00131CA5">
      <w:pPr>
        <w:spacing w:line="240" w:lineRule="auto"/>
        <w:jc w:val="both"/>
        <w:rPr>
          <w:b/>
          <w:bCs/>
          <w:color w:val="2E74B5" w:themeColor="accent1" w:themeShade="BF"/>
          <w:sz w:val="24"/>
          <w:szCs w:val="24"/>
        </w:rPr>
      </w:pPr>
    </w:p>
    <w:p w14:paraId="0CD8F329" w14:textId="7EFFC037" w:rsidR="000075D2" w:rsidRPr="00FC3F98" w:rsidRDefault="001A4931" w:rsidP="00131CA5">
      <w:pPr>
        <w:spacing w:line="240" w:lineRule="auto"/>
        <w:jc w:val="both"/>
        <w:rPr>
          <w:b/>
          <w:bCs/>
          <w:color w:val="2E74B5" w:themeColor="accent1" w:themeShade="BF"/>
          <w:sz w:val="24"/>
          <w:szCs w:val="24"/>
        </w:rPr>
      </w:pPr>
      <w:r w:rsidRPr="00FC3F98">
        <w:rPr>
          <w:b/>
          <w:bCs/>
          <w:color w:val="2E74B5" w:themeColor="accent1" w:themeShade="BF"/>
          <w:sz w:val="24"/>
          <w:szCs w:val="24"/>
        </w:rPr>
        <w:lastRenderedPageBreak/>
        <w:t>Το αποτύπωμα του κατασκευαστικού κλάδου</w:t>
      </w:r>
    </w:p>
    <w:p w14:paraId="015722AD" w14:textId="74D33D2F" w:rsidR="00027A8C" w:rsidRDefault="00A3044F" w:rsidP="00131CA5">
      <w:pPr>
        <w:spacing w:line="240" w:lineRule="auto"/>
        <w:jc w:val="both"/>
      </w:pPr>
      <w:r>
        <w:t xml:space="preserve">Σύμφωνα με τη μελέτη του ΙΟΒΕ, </w:t>
      </w:r>
      <w:r w:rsidR="001D2B37">
        <w:t xml:space="preserve">η </w:t>
      </w:r>
      <w:r w:rsidR="00391FF7" w:rsidRPr="00391FF7">
        <w:t xml:space="preserve">αξία παραγωγής του κλάδου των Κατασκευών εκτιμάται ότι έφτασε το 2023 τα </w:t>
      </w:r>
      <w:r w:rsidR="00391FF7" w:rsidRPr="000E2205">
        <w:rPr>
          <w:b/>
          <w:bCs/>
        </w:rPr>
        <w:t>12,8 δισ. ευρώ</w:t>
      </w:r>
      <w:r w:rsidR="00391FF7" w:rsidRPr="00391FF7">
        <w:t xml:space="preserve">, επίπεδο υψηλότερο κατά </w:t>
      </w:r>
      <w:r w:rsidR="00707F62" w:rsidRPr="000E2205">
        <w:rPr>
          <w:b/>
          <w:bCs/>
        </w:rPr>
        <w:t>84</w:t>
      </w:r>
      <w:r w:rsidR="00391FF7" w:rsidRPr="000E2205">
        <w:rPr>
          <w:b/>
          <w:bCs/>
        </w:rPr>
        <w:t>%</w:t>
      </w:r>
      <w:r w:rsidR="00391FF7" w:rsidRPr="00391FF7">
        <w:t xml:space="preserve"> συγκριτικά με το 2017. </w:t>
      </w:r>
    </w:p>
    <w:p w14:paraId="698B1E6C" w14:textId="7F2BF936" w:rsidR="00D53E59" w:rsidRPr="00D53E59" w:rsidRDefault="00D53E59" w:rsidP="00131CA5">
      <w:pPr>
        <w:spacing w:before="120" w:after="120" w:line="240" w:lineRule="auto"/>
        <w:jc w:val="both"/>
      </w:pPr>
      <w:r w:rsidRPr="00D53E59">
        <w:t>Στον κλάδο απασχολούνταν συνολικά 197 χιλ. εργαζόμενοι το 2022</w:t>
      </w:r>
      <w:r w:rsidR="00201160">
        <w:t>, αριθμός που π</w:t>
      </w:r>
      <w:r w:rsidRPr="00D53E59">
        <w:t xml:space="preserve">αρουσιάζει σχετική στασιμότητα, με τάση ελαφριάς ανόδου τα τελευταία χρόνια. Στις δραστηριότητες Αρχιτεκτόνων και Μηχανικών απασχολούνταν 74 χιλ. άτομα το 2022, </w:t>
      </w:r>
      <w:r w:rsidR="00201160">
        <w:t>χωρίς</w:t>
      </w:r>
      <w:r w:rsidRPr="00D53E59">
        <w:t xml:space="preserve"> αξιοσημείωτη μεταβολή από το 2017.</w:t>
      </w:r>
    </w:p>
    <w:p w14:paraId="191B12BE" w14:textId="5B024D6A" w:rsidR="00D53E59" w:rsidRDefault="00D53E59" w:rsidP="00131CA5">
      <w:pPr>
        <w:spacing w:before="120" w:after="120" w:line="240" w:lineRule="auto"/>
        <w:jc w:val="both"/>
      </w:pPr>
      <w:r w:rsidRPr="00D53E59">
        <w:t xml:space="preserve">Οι επενδύσεις σε κατασκευές αντιπροσώπευαν το </w:t>
      </w:r>
      <w:r w:rsidRPr="000E2205">
        <w:t>4,8% του ΑΕΠ</w:t>
      </w:r>
      <w:r w:rsidRPr="00D53E59">
        <w:t xml:space="preserve"> το 2022, έναντι 14,7% το 2007, ενώ η απόκλιση για το 2022 σε σύγκριση με τον μέσο όρο της ΕΕ-27 υπερβαίνει τις 6 ποσοστιαίες μονάδες. </w:t>
      </w:r>
    </w:p>
    <w:p w14:paraId="5A288C5B" w14:textId="3341407B" w:rsidR="00FD4854" w:rsidRDefault="00FD4854" w:rsidP="00131CA5">
      <w:pPr>
        <w:spacing w:before="120" w:after="120" w:line="240" w:lineRule="auto"/>
        <w:jc w:val="both"/>
      </w:pPr>
      <w:r>
        <w:t>Στα στοιχεία των επιμέρους βραχυπρόθεσμων δεικτών αποτυπώνεται η ισχυρή ανάκαμψη του τομέα τα τελευταία χρόνια, με αξιοσημείωτη άνοδο της ιδιωτικής οικοδομικής δραστηριότητας, αν και από πολύ χαμηλή βάση, αύξηση του κύκλου εργασιών και ενίσχυση των θετικών επιχειρηματικών προσδοκιών. Ωστόσο, αναδεικνύεται επίσης, η σημαντική αύξηση του κόστους κατασκευής και των τιμών των ακινήτων και η συγκρατημένη άνοδος της στεγαστικής πίστης</w:t>
      </w:r>
      <w:r w:rsidR="009E2AAD">
        <w:t>,</w:t>
      </w:r>
      <w:r>
        <w:t xml:space="preserve"> με παράλληλη αύξηση του σχετικού κόστους δανεισμού. </w:t>
      </w:r>
    </w:p>
    <w:p w14:paraId="136A8A10" w14:textId="34C290C5" w:rsidR="00FD4854" w:rsidRDefault="00FD4854" w:rsidP="00131CA5">
      <w:pPr>
        <w:spacing w:before="120" w:after="120" w:line="240" w:lineRule="auto"/>
        <w:jc w:val="both"/>
      </w:pPr>
      <w:r>
        <w:t>Ιδιαίτερα ενισχυμένη την τελευταία διετία είναι και η αγορά κατασκευής δημ</w:t>
      </w:r>
      <w:r w:rsidR="004D568B">
        <w:t>ό</w:t>
      </w:r>
      <w:r>
        <w:t>σ</w:t>
      </w:r>
      <w:r w:rsidR="004D568B">
        <w:t>ι</w:t>
      </w:r>
      <w:r>
        <w:t>ων έργων, με αύξηση τόσο του πλήθους των δημοπρασιών όσο και του συνολικού προϋπολογισμού των δημ</w:t>
      </w:r>
      <w:r w:rsidR="004D568B">
        <w:t>ό</w:t>
      </w:r>
      <w:r>
        <w:t>σ</w:t>
      </w:r>
      <w:r w:rsidR="004D568B">
        <w:t>ι</w:t>
      </w:r>
      <w:r>
        <w:t xml:space="preserve">ων έργων και αποκλιμάκωση του μέσου ποσοστού </w:t>
      </w:r>
      <w:r w:rsidR="002F0187">
        <w:t>εκπτώσεων</w:t>
      </w:r>
      <w:r>
        <w:t xml:space="preserve">. </w:t>
      </w:r>
    </w:p>
    <w:p w14:paraId="4623F288" w14:textId="77E3BC3D" w:rsidR="009C0A3E" w:rsidRPr="002B1582" w:rsidRDefault="0019071B" w:rsidP="00131CA5">
      <w:pPr>
        <w:spacing w:before="120" w:after="120" w:line="240" w:lineRule="auto"/>
        <w:jc w:val="both"/>
      </w:pPr>
      <w:r>
        <w:t>Το</w:t>
      </w:r>
      <w:r w:rsidR="00FD4854">
        <w:t xml:space="preserve"> ανεκτέλεστο υπόλοιπο των μεγαλύτερων εταιρ</w:t>
      </w:r>
      <w:r w:rsidR="002B1582">
        <w:t>ε</w:t>
      </w:r>
      <w:r w:rsidR="00FD4854">
        <w:t>ιών του κλάδου ανήλθε το 2023 (στοιχεία μέχρι το εν</w:t>
      </w:r>
      <w:r w:rsidR="00567F01">
        <w:t>νε</w:t>
      </w:r>
      <w:r w:rsidR="00FD4854">
        <w:t xml:space="preserve">άμηνο του έτους) σε </w:t>
      </w:r>
      <w:r w:rsidR="00FD4854" w:rsidRPr="000E2205">
        <w:rPr>
          <w:b/>
          <w:bCs/>
        </w:rPr>
        <w:t>15,35 δισ. ευρώ</w:t>
      </w:r>
      <w:r w:rsidR="00FD4854">
        <w:t xml:space="preserve">, σημαντικά αυξημένο κατά </w:t>
      </w:r>
      <w:r w:rsidR="00FD4854" w:rsidRPr="000E2205">
        <w:rPr>
          <w:b/>
          <w:bCs/>
        </w:rPr>
        <w:t xml:space="preserve">63% </w:t>
      </w:r>
      <w:r w:rsidR="00FD4854">
        <w:t xml:space="preserve">έναντι του προηγούμενου έτους και περίπου τριπλάσιο συγκριτικά με τον μέσο όρο της περιόδου 2018-2020. </w:t>
      </w:r>
    </w:p>
    <w:p w14:paraId="70984D00" w14:textId="77777777" w:rsidR="00C9524C" w:rsidRDefault="00C9524C" w:rsidP="00131CA5">
      <w:pPr>
        <w:spacing w:line="240" w:lineRule="auto"/>
        <w:jc w:val="both"/>
        <w:rPr>
          <w:b/>
          <w:color w:val="2E74B5" w:themeColor="accent1" w:themeShade="BF"/>
          <w:sz w:val="24"/>
          <w:szCs w:val="24"/>
        </w:rPr>
      </w:pPr>
    </w:p>
    <w:p w14:paraId="4D89EE67" w14:textId="5E795AAB" w:rsidR="00FA553A" w:rsidRPr="00FC3F98" w:rsidRDefault="00FA553A" w:rsidP="00131CA5">
      <w:pPr>
        <w:spacing w:line="240" w:lineRule="auto"/>
        <w:jc w:val="both"/>
        <w:rPr>
          <w:b/>
          <w:color w:val="2E74B5" w:themeColor="accent1" w:themeShade="BF"/>
          <w:sz w:val="24"/>
          <w:szCs w:val="24"/>
        </w:rPr>
      </w:pPr>
      <w:r w:rsidRPr="00FC3F98">
        <w:rPr>
          <w:b/>
          <w:color w:val="2E74B5" w:themeColor="accent1" w:themeShade="BF"/>
          <w:sz w:val="24"/>
          <w:szCs w:val="24"/>
        </w:rPr>
        <w:t>Ισχυρές προοπτικές ανάπτυξης</w:t>
      </w:r>
    </w:p>
    <w:p w14:paraId="607C1A17" w14:textId="68E074B9" w:rsidR="00404FE0" w:rsidRDefault="00777720" w:rsidP="00131CA5">
      <w:pPr>
        <w:spacing w:line="240" w:lineRule="auto"/>
        <w:jc w:val="both"/>
      </w:pPr>
      <w:r w:rsidRPr="00777720">
        <w:t xml:space="preserve">Με βάση την ανάλυση των δράσεων του Εθνικού Σχεδίου Ανάκαμψης και Ανθεκτικότητας (ΕΣΑΑ) εκτιμάται ότι σε έργα που έχουν άμεση σχέση με τις Κατασκευές θα κατευθυνθούν επιχορηγήσεις ύψους </w:t>
      </w:r>
      <w:r w:rsidRPr="000E2205">
        <w:rPr>
          <w:b/>
          <w:bCs/>
        </w:rPr>
        <w:t>9,9 δισ. ευρώ</w:t>
      </w:r>
      <w:r w:rsidRPr="00777720">
        <w:t xml:space="preserve">, κινητοποιώντας συνολικούς πόρους ύψους </w:t>
      </w:r>
      <w:r w:rsidRPr="000E2205">
        <w:rPr>
          <w:b/>
          <w:bCs/>
        </w:rPr>
        <w:t xml:space="preserve">12,8 δισ. ευρώ. </w:t>
      </w:r>
      <w:r w:rsidRPr="00777720">
        <w:t xml:space="preserve">Τα κατασκευαστικά έργα που </w:t>
      </w:r>
      <w:r w:rsidR="003C3274">
        <w:t xml:space="preserve">στηρίζονται </w:t>
      </w:r>
      <w:r w:rsidRPr="00777720">
        <w:t>με επιχορηγήσεις από το Τ</w:t>
      </w:r>
      <w:r w:rsidR="001A51D4">
        <w:t xml:space="preserve">αμείο </w:t>
      </w:r>
      <w:r w:rsidRPr="00777720">
        <w:t>Α</w:t>
      </w:r>
      <w:r w:rsidR="001A51D4">
        <w:t xml:space="preserve">νάκαμψης και </w:t>
      </w:r>
      <w:r w:rsidRPr="00777720">
        <w:t>Α</w:t>
      </w:r>
      <w:r w:rsidR="001A51D4">
        <w:t>νθεκτικότητας</w:t>
      </w:r>
      <w:r w:rsidR="00F73C59">
        <w:t xml:space="preserve"> (ΤΑΑ)</w:t>
      </w:r>
      <w:r w:rsidRPr="00777720">
        <w:t xml:space="preserve"> αφορούν κυρίως τους πυλώνες της Πράσινης Μετάβασης (6,3 δισ. ευρώ) και των Ιδιωτικών Επενδύσεων (2,7 δισ. ευρώ)</w:t>
      </w:r>
      <w:r w:rsidR="00B620C6">
        <w:t>.</w:t>
      </w:r>
    </w:p>
    <w:p w14:paraId="21A39AFF" w14:textId="77777777" w:rsidR="0061436B" w:rsidRDefault="00F65BCE" w:rsidP="00131CA5">
      <w:pPr>
        <w:spacing w:line="240" w:lineRule="auto"/>
        <w:jc w:val="both"/>
      </w:pPr>
      <w:r w:rsidRPr="00F65BCE">
        <w:t xml:space="preserve">Μαζί με τους πόρους από τα δάνεια του ΤΑΑ (και τους κινητοποιούμενους από τα δάνεια πόρους χρηματοδότησης) εκτιμάται ότι για έργα με άμεση σχέση με τις Κατασκευές θα κινητοποιηθούν την περίοδο 2022-2026 συνολικά </w:t>
      </w:r>
      <w:r w:rsidRPr="000E2205">
        <w:rPr>
          <w:b/>
          <w:bCs/>
        </w:rPr>
        <w:t>23,9 δισ. ευρώ</w:t>
      </w:r>
      <w:r w:rsidRPr="00F65BCE">
        <w:t xml:space="preserve"> (12,8 δισ. ευρώ από τις επιχορηγήσεις και 11,1 δισ. ευρώ από τα δάνεια). </w:t>
      </w:r>
    </w:p>
    <w:p w14:paraId="33BCAB23" w14:textId="77777777" w:rsidR="008306F8" w:rsidRDefault="00F65BCE" w:rsidP="00131CA5">
      <w:pPr>
        <w:spacing w:line="240" w:lineRule="auto"/>
        <w:jc w:val="both"/>
      </w:pPr>
      <w:r w:rsidRPr="00F65BCE">
        <w:t xml:space="preserve">Συνεπώς, οι επενδύσεις σε Κατασκευές εκτιμάται ότι θα ενισχύσουν σημαντικά το μερίδιό τους στο ΑΕΠ την περίοδο 2023-2026. Μεσοπρόθεσμα εκτιμώνται επιπρόσθετες επενδύσεις σε υποδομές και κατοικίες ετησίως ύψους έως 3,0% του ΑΕΠ κατά μέσο όρο (συγκριτικά με το 2022) –με το ποσοστό των επενδύσεων σε κατασκευαστικά έργα να φτάνει μέχρι το 8,6% του ΑΕΠ το 2025 από 4,8% το 2022. </w:t>
      </w:r>
    </w:p>
    <w:p w14:paraId="3917B7F4" w14:textId="37C8F71B" w:rsidR="00F65BCE" w:rsidRDefault="00F65BCE" w:rsidP="00131CA5">
      <w:pPr>
        <w:spacing w:line="240" w:lineRule="auto"/>
        <w:jc w:val="both"/>
      </w:pPr>
      <w:r w:rsidRPr="00F65BCE">
        <w:t xml:space="preserve">Εκτιμάται επίσης ότι η αξία παραγωγής των κατασκευαστικών έργων υποδομών και κατοικιών θα ακολουθήσει ισχυρή ανοδική πορεία την περίοδο 2024-2026, ξεπερνώντας τα </w:t>
      </w:r>
      <w:r w:rsidRPr="000E2205">
        <w:rPr>
          <w:b/>
          <w:bCs/>
        </w:rPr>
        <w:t>18 δισ. ευρώ</w:t>
      </w:r>
      <w:r w:rsidRPr="00F65BCE">
        <w:t xml:space="preserve"> το 2025, από 10,3 δισ. ευρώ το 2022</w:t>
      </w:r>
      <w:r w:rsidR="0061436B">
        <w:t>.</w:t>
      </w:r>
    </w:p>
    <w:p w14:paraId="279A18E2" w14:textId="77777777" w:rsidR="00C9524C" w:rsidRDefault="00C9524C" w:rsidP="00131CA5">
      <w:pPr>
        <w:spacing w:line="240" w:lineRule="auto"/>
        <w:jc w:val="both"/>
        <w:rPr>
          <w:b/>
          <w:color w:val="2E74B5" w:themeColor="accent1" w:themeShade="BF"/>
          <w:sz w:val="24"/>
          <w:szCs w:val="24"/>
        </w:rPr>
      </w:pPr>
    </w:p>
    <w:p w14:paraId="4D89EE6E" w14:textId="1DCEF502" w:rsidR="00FA553A" w:rsidRPr="00FC3F98" w:rsidRDefault="00FA553A" w:rsidP="00131CA5">
      <w:pPr>
        <w:spacing w:line="240" w:lineRule="auto"/>
        <w:jc w:val="both"/>
        <w:rPr>
          <w:b/>
          <w:color w:val="2E74B5" w:themeColor="accent1" w:themeShade="BF"/>
          <w:sz w:val="24"/>
          <w:szCs w:val="24"/>
        </w:rPr>
      </w:pPr>
      <w:r w:rsidRPr="00FC3F98">
        <w:rPr>
          <w:b/>
          <w:color w:val="2E74B5" w:themeColor="accent1" w:themeShade="BF"/>
          <w:sz w:val="24"/>
          <w:szCs w:val="24"/>
        </w:rPr>
        <w:lastRenderedPageBreak/>
        <w:t>Εκτίμηση αναγκών χρηματοδότησης</w:t>
      </w:r>
    </w:p>
    <w:p w14:paraId="6838A650" w14:textId="1F9DBB7C" w:rsidR="00041649" w:rsidRDefault="00041649" w:rsidP="00131CA5">
      <w:pPr>
        <w:spacing w:line="240" w:lineRule="auto"/>
        <w:jc w:val="both"/>
      </w:pPr>
      <w:r w:rsidRPr="00041649">
        <w:t>Η χρηματοδότηση του κλάδου των Κατασκευών από τα εγχώρια Ν</w:t>
      </w:r>
      <w:r w:rsidR="00B06306">
        <w:t>ομισματικά Χρηματοπιστωτικά Ιδρύματα</w:t>
      </w:r>
      <w:r w:rsidRPr="00041649">
        <w:t xml:space="preserve"> δεν σημείωσε σημαντική μεταβολή τα έτη 2020 και 2021, καθώς τα </w:t>
      </w:r>
      <w:r w:rsidRPr="000E2205">
        <w:rPr>
          <w:b/>
          <w:bCs/>
        </w:rPr>
        <w:t>νέα δάνεια ανήλθαν σε 273 και 289 εκατ. ευρώ</w:t>
      </w:r>
      <w:r w:rsidRPr="00041649">
        <w:t xml:space="preserve"> αντιστοίχως. Μεγάλη αύξηση σημειώθηκε το 2022, όταν τα νέα δάνεια ανήλθαν σε 602 εκατ. ευρώ. Ωστόσο, το 2023, παρά την περαιτέρω άνοδο της κατασκευαστικής δραστηριότητας, η χρηματοδότηση των Κατασκευών υποχώρησε στα 280 εκατ. ευρώ. Η σημαντική άνοδος του κόστους δανεισμού το 2023 ήταν ένας από τους παράγοντες που ενδεχομένως επηρέασαν τις ροές χρηματοδότησης. </w:t>
      </w:r>
      <w:r w:rsidRPr="000E2205">
        <w:rPr>
          <w:b/>
          <w:bCs/>
        </w:rPr>
        <w:t>Την περίοδο 2020-2023, οι μικρομεσαίες επιχειρήσεις του κλάδου έλαβαν κατά μέσο όρο το 72% των ν</w:t>
      </w:r>
      <w:r w:rsidR="00826CE9" w:rsidRPr="000E2205">
        <w:rPr>
          <w:b/>
          <w:bCs/>
        </w:rPr>
        <w:t>έων</w:t>
      </w:r>
      <w:r w:rsidRPr="000E2205">
        <w:rPr>
          <w:b/>
          <w:bCs/>
        </w:rPr>
        <w:t xml:space="preserve"> δανείων και οι μεγάλες το υπόλοιπο 28%</w:t>
      </w:r>
      <w:r w:rsidRPr="00041649">
        <w:t>.</w:t>
      </w:r>
    </w:p>
    <w:p w14:paraId="7D3F4D2C" w14:textId="77777777" w:rsidR="00AA5CED" w:rsidRPr="00A50D44" w:rsidRDefault="007676D8" w:rsidP="00131CA5">
      <w:pPr>
        <w:spacing w:line="240" w:lineRule="auto"/>
        <w:jc w:val="both"/>
      </w:pPr>
      <w:r>
        <w:t xml:space="preserve">Όπως τονίζεται στη μελέτη του </w:t>
      </w:r>
      <w:r w:rsidRPr="007676D8">
        <w:rPr>
          <w:bCs/>
        </w:rPr>
        <w:t>ΙΟΒΕ</w:t>
      </w:r>
      <w:r w:rsidR="000A03EA">
        <w:rPr>
          <w:bCs/>
        </w:rPr>
        <w:t>,</w:t>
      </w:r>
      <w:r w:rsidRPr="007676D8">
        <w:rPr>
          <w:bCs/>
        </w:rPr>
        <w:t xml:space="preserve"> η</w:t>
      </w:r>
      <w:r w:rsidR="00314EE8">
        <w:t xml:space="preserve"> ανάπτυξη των δημόσιων και ιδιωτικών κατασκευαστικών έργων, η συμμετοχή σε δημόσια έργα και ο εκσυγχρονισμός του παραγωγικού δυναμικού του κλάδου θα απαιτήσουν αυξημένους πόρους χρηματοδότησης από το χρηματοπιστωτικό σύστημα, τόσο σε κεφάλαια κίνησης όσο και σε μεσοπρόθεσμα και μακροπρόθεσμα δανειακά κεφάλαια. </w:t>
      </w:r>
    </w:p>
    <w:p w14:paraId="4CB4EA86" w14:textId="33E41528" w:rsidR="00314EE8" w:rsidRDefault="00A115DC" w:rsidP="00131CA5">
      <w:pPr>
        <w:spacing w:line="240" w:lineRule="auto"/>
        <w:jc w:val="both"/>
      </w:pPr>
      <w:r>
        <w:t>Σύμφωνα με τις εκτιμήσεις</w:t>
      </w:r>
      <w:r w:rsidR="00FD7966">
        <w:t xml:space="preserve"> του ΙΟΒΕ</w:t>
      </w:r>
      <w:r>
        <w:t xml:space="preserve">, </w:t>
      </w:r>
      <w:r w:rsidR="0090731D" w:rsidRPr="0090731D">
        <w:t xml:space="preserve"> ο συνολικός τραπεζικός δανεισμός των επιχειρήσεων του τομέα την περίοδο 2023-2026 θα μπορούσε να αυξηθεί κατά 972 εκατ. έως 1,77 δισ. ευρώ</w:t>
      </w:r>
      <w:r w:rsidR="00D54CBF">
        <w:t>.</w:t>
      </w:r>
    </w:p>
    <w:p w14:paraId="29599827" w14:textId="77777777" w:rsidR="00C9524C" w:rsidRDefault="00C9524C" w:rsidP="00131CA5">
      <w:pPr>
        <w:spacing w:line="240" w:lineRule="auto"/>
        <w:jc w:val="both"/>
        <w:rPr>
          <w:b/>
          <w:color w:val="2E74B5" w:themeColor="accent1" w:themeShade="BF"/>
          <w:sz w:val="24"/>
          <w:szCs w:val="24"/>
        </w:rPr>
      </w:pPr>
    </w:p>
    <w:p w14:paraId="4D89EE77" w14:textId="5DB950B2" w:rsidR="00C00A41" w:rsidRPr="00FC3F98" w:rsidRDefault="00C00A41" w:rsidP="00131CA5">
      <w:pPr>
        <w:spacing w:line="240" w:lineRule="auto"/>
        <w:jc w:val="both"/>
        <w:rPr>
          <w:b/>
          <w:color w:val="2E74B5" w:themeColor="accent1" w:themeShade="BF"/>
          <w:sz w:val="24"/>
          <w:szCs w:val="24"/>
        </w:rPr>
      </w:pPr>
      <w:r w:rsidRPr="00FC3F98">
        <w:rPr>
          <w:b/>
          <w:color w:val="2E74B5" w:themeColor="accent1" w:themeShade="BF"/>
          <w:sz w:val="24"/>
          <w:szCs w:val="24"/>
        </w:rPr>
        <w:t xml:space="preserve">Οι </w:t>
      </w:r>
      <w:r w:rsidR="00530506" w:rsidRPr="00FC3F98">
        <w:rPr>
          <w:b/>
          <w:color w:val="2E74B5" w:themeColor="accent1" w:themeShade="BF"/>
          <w:sz w:val="24"/>
          <w:szCs w:val="24"/>
        </w:rPr>
        <w:t xml:space="preserve">προκλήσεις </w:t>
      </w:r>
      <w:r w:rsidR="004E3227" w:rsidRPr="00FC3F98">
        <w:rPr>
          <w:b/>
          <w:color w:val="2E74B5" w:themeColor="accent1" w:themeShade="BF"/>
          <w:sz w:val="24"/>
          <w:szCs w:val="24"/>
        </w:rPr>
        <w:t xml:space="preserve">για </w:t>
      </w:r>
      <w:r w:rsidR="00A3717D" w:rsidRPr="00FC3F98">
        <w:rPr>
          <w:b/>
          <w:color w:val="2E74B5" w:themeColor="accent1" w:themeShade="BF"/>
          <w:sz w:val="24"/>
          <w:szCs w:val="24"/>
        </w:rPr>
        <w:t>τις Κατασκευές</w:t>
      </w:r>
    </w:p>
    <w:p w14:paraId="05D02739" w14:textId="43CEEF42" w:rsidR="0004682B" w:rsidRPr="00A50D44" w:rsidRDefault="00E46A14" w:rsidP="00131CA5">
      <w:pPr>
        <w:spacing w:line="240" w:lineRule="auto"/>
        <w:jc w:val="both"/>
      </w:pPr>
      <w:r w:rsidRPr="00E46A14">
        <w:t xml:space="preserve">Η </w:t>
      </w:r>
      <w:r w:rsidRPr="000418F8">
        <w:rPr>
          <w:b/>
          <w:bCs/>
        </w:rPr>
        <w:t>ανεπάρκεια εργατικού δυναμικού</w:t>
      </w:r>
      <w:r w:rsidRPr="00E46A14">
        <w:t xml:space="preserve"> προβά</w:t>
      </w:r>
      <w:r w:rsidR="00F05B67">
        <w:t>λ</w:t>
      </w:r>
      <w:r w:rsidRPr="00E46A14">
        <w:t>λει ως το βασικό εμπόδιο ανάπτυξης</w:t>
      </w:r>
      <w:r w:rsidR="00D30D39">
        <w:t xml:space="preserve"> των Κατασκευών</w:t>
      </w:r>
      <w:r w:rsidRPr="00E46A14">
        <w:t xml:space="preserve"> το 2023, ενώ και οι </w:t>
      </w:r>
      <w:r w:rsidRPr="000418F8">
        <w:rPr>
          <w:b/>
          <w:bCs/>
        </w:rPr>
        <w:t>δυσκολίες χρηματοδότησης</w:t>
      </w:r>
      <w:r w:rsidRPr="00E46A14">
        <w:t xml:space="preserve"> αξιολογούνται επίσης αρνητικά ως προς την επίπτωσή τους στην κατασκευαστική δραστηριότητα</w:t>
      </w:r>
      <w:r w:rsidR="00D30D39">
        <w:t xml:space="preserve">. </w:t>
      </w:r>
    </w:p>
    <w:p w14:paraId="335032C1" w14:textId="27389EFF" w:rsidR="00414919" w:rsidRDefault="00E46A14" w:rsidP="00131CA5">
      <w:pPr>
        <w:spacing w:line="240" w:lineRule="auto"/>
        <w:jc w:val="both"/>
      </w:pPr>
      <w:r w:rsidRPr="00E46A14">
        <w:t xml:space="preserve">Η </w:t>
      </w:r>
      <w:r w:rsidRPr="003C782B">
        <w:rPr>
          <w:b/>
          <w:bCs/>
        </w:rPr>
        <w:t>έλλειψη εργατικού δυναμικού</w:t>
      </w:r>
      <w:r w:rsidRPr="00E46A14">
        <w:t xml:space="preserve"> συνεπάγεται καθυστερήσεις που μπορεί να οδηγήσουν σε αύξηση του προϋπολογισμού και μη τήρηση των χρονοδιαγραμμάτων των έργων.</w:t>
      </w:r>
      <w:r w:rsidR="0004682B" w:rsidRPr="0004682B">
        <w:t xml:space="preserve"> </w:t>
      </w:r>
      <w:r w:rsidR="0025582B">
        <w:t>Σύμφωνα με τη</w:t>
      </w:r>
      <w:r w:rsidR="005418F3" w:rsidRPr="005418F3">
        <w:t xml:space="preserve"> μελέτη</w:t>
      </w:r>
      <w:r w:rsidR="00F05B67">
        <w:t>,</w:t>
      </w:r>
      <w:r w:rsidR="005418F3" w:rsidRPr="005418F3">
        <w:t xml:space="preserve"> </w:t>
      </w:r>
      <w:r w:rsidR="005418F3" w:rsidRPr="00A07C48">
        <w:rPr>
          <w:b/>
          <w:bCs/>
        </w:rPr>
        <w:t>το σύνολο των εργαζόμενων στις Κατασκευές θα πρέπει να αυξηθεί την περίοδο 2024-2026 σε περίπου 250 χιλ. εργαζόμενους</w:t>
      </w:r>
      <w:r w:rsidR="005418F3" w:rsidRPr="005418F3">
        <w:t>, επίπεδο που είναι κατά 51 έως 55 χιλ. εργαζόμενους υψηλότερο σε σύγκριση με το σύνολο της απασχόλησης στις Κατασκευές το 2022 (197 χιλ. εργαζόμενοι)</w:t>
      </w:r>
      <w:r w:rsidR="005418F3">
        <w:t>.</w:t>
      </w:r>
    </w:p>
    <w:p w14:paraId="78D95CAE" w14:textId="6492A50B" w:rsidR="00414919" w:rsidRDefault="000251F1" w:rsidP="00131CA5">
      <w:pPr>
        <w:spacing w:line="240" w:lineRule="auto"/>
        <w:jc w:val="both"/>
      </w:pPr>
      <w:r>
        <w:t>Επιπλέον, η</w:t>
      </w:r>
      <w:r w:rsidR="00CA2031">
        <w:t xml:space="preserve"> </w:t>
      </w:r>
      <w:r w:rsidR="00A30C28" w:rsidRPr="00A30C28">
        <w:t xml:space="preserve">προοπτική περαιτέρω </w:t>
      </w:r>
      <w:r w:rsidR="00D56C28">
        <w:t>ανάπτυξης</w:t>
      </w:r>
      <w:r w:rsidR="00A30C28" w:rsidRPr="00A30C28">
        <w:t xml:space="preserve"> των κατασκευαστικών έργων τα επόμενα χρόνια </w:t>
      </w:r>
      <w:r w:rsidR="00CA2031">
        <w:t xml:space="preserve">δημιουργεί </w:t>
      </w:r>
      <w:r w:rsidR="00A30C28" w:rsidRPr="003C782B">
        <w:rPr>
          <w:b/>
          <w:bCs/>
        </w:rPr>
        <w:t xml:space="preserve">ανάγκες </w:t>
      </w:r>
      <w:r w:rsidR="00CA2031" w:rsidRPr="003C782B">
        <w:rPr>
          <w:b/>
          <w:bCs/>
        </w:rPr>
        <w:t>π</w:t>
      </w:r>
      <w:r w:rsidR="00A30C28" w:rsidRPr="003C782B">
        <w:rPr>
          <w:b/>
          <w:bCs/>
        </w:rPr>
        <w:t>ρόσθετης χρηματοδότησης</w:t>
      </w:r>
      <w:r w:rsidR="005D40A9">
        <w:t>, περιλαμβανομένων των εγγυ</w:t>
      </w:r>
      <w:r>
        <w:t>ήσεων</w:t>
      </w:r>
      <w:r w:rsidR="005D40A9">
        <w:t xml:space="preserve"> για </w:t>
      </w:r>
      <w:r w:rsidR="00EC1944">
        <w:t xml:space="preserve">τη </w:t>
      </w:r>
      <w:r w:rsidR="005D40A9">
        <w:t xml:space="preserve">συμμετοχή και </w:t>
      </w:r>
      <w:r w:rsidR="00EC1944">
        <w:t xml:space="preserve">την </w:t>
      </w:r>
      <w:r w:rsidR="005D40A9">
        <w:t>καλή εκτέλεση των έργων</w:t>
      </w:r>
      <w:r w:rsidR="00EC1944">
        <w:t xml:space="preserve"> και απαιτεί </w:t>
      </w:r>
      <w:r w:rsidR="00BB3066">
        <w:t>μείωση</w:t>
      </w:r>
      <w:r w:rsidR="00EC1944">
        <w:t xml:space="preserve"> των </w:t>
      </w:r>
      <w:r w:rsidR="00A30C28" w:rsidRPr="00A30C28">
        <w:t>καθυστερήσε</w:t>
      </w:r>
      <w:r w:rsidR="00EC1944">
        <w:t>ων</w:t>
      </w:r>
      <w:r w:rsidR="00A30C28" w:rsidRPr="00A30C28">
        <w:t xml:space="preserve"> πληρωμών των κατασκευαστικών επιχειρήσεων. Οι δυσκολίες στη χρηματοδότηση και το χρηματοδοτικό κενό μπορεί να </w:t>
      </w:r>
      <w:r w:rsidR="00E13288">
        <w:t>περιοριστούν</w:t>
      </w:r>
      <w:r w:rsidR="00A30C28" w:rsidRPr="00A30C28">
        <w:t xml:space="preserve"> με τη χρήση διάφορων χρηματοδοτικών εργαλείων (π.χ. εγγυητικά κεφάλαια, επιδότηση επιτοκίου, κ.ά.)</w:t>
      </w:r>
      <w:r w:rsidR="000B7A1C">
        <w:t>.</w:t>
      </w:r>
    </w:p>
    <w:p w14:paraId="4EAE827F" w14:textId="2381E77F" w:rsidR="004E3227" w:rsidRDefault="00443642" w:rsidP="00131CA5">
      <w:pPr>
        <w:spacing w:line="240" w:lineRule="auto"/>
        <w:jc w:val="both"/>
      </w:pPr>
      <w:r>
        <w:t>Σ</w:t>
      </w:r>
      <w:r w:rsidR="000D0F4B">
        <w:t xml:space="preserve">τη μελέτη του ΙΟΒΕ </w:t>
      </w:r>
      <w:r>
        <w:t>επισημαίνεται</w:t>
      </w:r>
      <w:r w:rsidR="004E3227" w:rsidRPr="004E3227">
        <w:t xml:space="preserve"> </w:t>
      </w:r>
      <w:r>
        <w:t xml:space="preserve">επίσης </w:t>
      </w:r>
      <w:r w:rsidR="004E3227" w:rsidRPr="004E3227">
        <w:t xml:space="preserve">η </w:t>
      </w:r>
      <w:r w:rsidR="004E3227" w:rsidRPr="003C782B">
        <w:rPr>
          <w:b/>
          <w:bCs/>
        </w:rPr>
        <w:t>ανάγκη συστηματικής λειτουργίας του μηχανισμού καθορισμού των συντελεστών αναθεώρησης των τιμών</w:t>
      </w:r>
      <w:r w:rsidR="004E3227" w:rsidRPr="004E3227">
        <w:t xml:space="preserve"> που θα καλύπτει όλο το φάσμα των επιμέρους στοιχείων κόστους, ώστε να περιορίζεται η αβεβαιότητα για τους συμμετέχοντες σε διαγωνισμούς δημοσίων έργων και τα σχετικά προβλήματα που μπορεί να ανακύψουν στη διάρκεια υλοποίησης των έργων. Σε αυτό θα συμβάλλει η ανάπτυξη, λειτουργία και διαχείριση του </w:t>
      </w:r>
      <w:r w:rsidR="004E3227" w:rsidRPr="00A07C48">
        <w:rPr>
          <w:b/>
          <w:bCs/>
        </w:rPr>
        <w:t>Ενιαίου Συστήματος Τεχνικών Προδιαγραφών και Τιμολόγησης Τεχνικών Έργων και Μελετών</w:t>
      </w:r>
      <w:r w:rsidR="004E3227" w:rsidRPr="004E3227">
        <w:t xml:space="preserve"> και του Ηλεκτρονικού Συστήματος Προσδιορισμού Κόστους Συντελεστών Παραγωγής Τεχνικών Έργων.</w:t>
      </w:r>
    </w:p>
    <w:p w14:paraId="77994B5D" w14:textId="423876C7" w:rsidR="00470898" w:rsidRDefault="00CD501E" w:rsidP="00131CA5">
      <w:pPr>
        <w:spacing w:line="240" w:lineRule="auto"/>
        <w:jc w:val="both"/>
      </w:pPr>
      <w:r w:rsidRPr="00CD501E">
        <w:t xml:space="preserve">Τα </w:t>
      </w:r>
      <w:r w:rsidRPr="003C782B">
        <w:rPr>
          <w:b/>
          <w:bCs/>
        </w:rPr>
        <w:t xml:space="preserve">χαμηλά ποσοστά </w:t>
      </w:r>
      <w:proofErr w:type="spellStart"/>
      <w:r w:rsidRPr="003C782B">
        <w:rPr>
          <w:b/>
          <w:bCs/>
        </w:rPr>
        <w:t>ψηφιοποίησης</w:t>
      </w:r>
      <w:proofErr w:type="spellEnd"/>
      <w:r w:rsidRPr="00CD501E">
        <w:t xml:space="preserve"> αλλά και η </w:t>
      </w:r>
      <w:r w:rsidR="00A932B8">
        <w:t>υστέρηση</w:t>
      </w:r>
      <w:r w:rsidRPr="00CD501E">
        <w:t xml:space="preserve"> επενδύσεων από τις κατασκευαστικές επιχειρήσεις, αποτελούν δύο μείζονες προκλήσεις για την ανθεκτικότητα </w:t>
      </w:r>
      <w:r w:rsidRPr="00CD501E">
        <w:lastRenderedPageBreak/>
        <w:t>και την ανταγωνιστικότητα του τομέα</w:t>
      </w:r>
      <w:r w:rsidR="00195F83">
        <w:t xml:space="preserve">, ενώ και η </w:t>
      </w:r>
      <w:r w:rsidR="00470898">
        <w:t xml:space="preserve">διαχείριση των θεμάτων περιβάλλοντος, κοινωνίας και εταιρικής διακυβέρνησης (ESG) είναι ιδιαίτερα σημαντική για τη διευκόλυνση της πρόσβασης των κατασκευαστικών επιχειρήσεων σε επενδυτικά και χρηματοδοτικά κεφάλαια. </w:t>
      </w:r>
    </w:p>
    <w:p w14:paraId="0F5F1924" w14:textId="30629553" w:rsidR="00470898" w:rsidRDefault="00470898" w:rsidP="00131CA5">
      <w:pPr>
        <w:spacing w:line="240" w:lineRule="auto"/>
        <w:jc w:val="both"/>
      </w:pPr>
      <w:r>
        <w:t xml:space="preserve">Τέλος, </w:t>
      </w:r>
      <w:r w:rsidR="00E539F2">
        <w:t xml:space="preserve">στη μελέτη τονίζεται η </w:t>
      </w:r>
      <w:r w:rsidRPr="003C782B">
        <w:rPr>
          <w:b/>
          <w:bCs/>
        </w:rPr>
        <w:t>ανάγκη σύνταξης Εθνικού Στρατηγικού Σχεδιασμού Υποδομών και Κατασκευών</w:t>
      </w:r>
      <w:r>
        <w:t>, στο</w:t>
      </w:r>
      <w:r w:rsidR="00E539F2">
        <w:t>ν</w:t>
      </w:r>
      <w:r>
        <w:t xml:space="preserve"> οποίο θα τίθενται προτεραιότητες, θα καθορίζονται οι προγραμματισμένες και προβλεπόμενες επενδύσεις σε μεγάλες οικονομικές και κοινωνικές υποδομές, θα εξειδικεύονται οι πόροι χρηματοδότησης για κρίσιμα έργα υποδομής, </w:t>
      </w:r>
      <w:r w:rsidR="004D568B">
        <w:t>συμ</w:t>
      </w:r>
      <w:r>
        <w:t xml:space="preserve">περιλαμβανομένης της συντήρησής τους, και θα προσδιορίζονται οι ανάγκες εργατικού δυναμικού και </w:t>
      </w:r>
      <w:r w:rsidR="006329AD">
        <w:t xml:space="preserve">ανάπτυξης </w:t>
      </w:r>
      <w:r>
        <w:t xml:space="preserve">δεξιοτήτων για την υλοποίησή τους. </w:t>
      </w:r>
    </w:p>
    <w:p w14:paraId="667620AA" w14:textId="77777777" w:rsidR="00F05B67" w:rsidRDefault="00F05B67" w:rsidP="00A07C48">
      <w:pPr>
        <w:spacing w:after="0" w:line="240" w:lineRule="auto"/>
        <w:jc w:val="both"/>
      </w:pPr>
    </w:p>
    <w:p w14:paraId="4B05293D" w14:textId="60F7D18C" w:rsidR="00F05B67" w:rsidRPr="00C9524C" w:rsidRDefault="00F05B67" w:rsidP="00131CA5">
      <w:pPr>
        <w:pBdr>
          <w:top w:val="single" w:sz="4" w:space="1" w:color="auto"/>
        </w:pBdr>
        <w:spacing w:line="240" w:lineRule="auto"/>
        <w:jc w:val="both"/>
        <w:rPr>
          <w:i/>
          <w:iCs/>
          <w:color w:val="0070C0"/>
          <w:sz w:val="20"/>
          <w:szCs w:val="20"/>
        </w:rPr>
      </w:pPr>
      <w:r w:rsidRPr="00A07C48">
        <w:rPr>
          <w:i/>
          <w:iCs/>
          <w:color w:val="0070C0"/>
          <w:sz w:val="20"/>
          <w:szCs w:val="20"/>
        </w:rPr>
        <w:t>*</w:t>
      </w:r>
      <w:r w:rsidR="00C9524C">
        <w:rPr>
          <w:i/>
          <w:iCs/>
          <w:color w:val="0070C0"/>
          <w:sz w:val="20"/>
          <w:szCs w:val="20"/>
        </w:rPr>
        <w:t>Μπορείτε να βρείτε</w:t>
      </w:r>
      <w:r w:rsidRPr="00A07C48">
        <w:rPr>
          <w:i/>
          <w:iCs/>
          <w:color w:val="0070C0"/>
          <w:sz w:val="20"/>
          <w:szCs w:val="20"/>
        </w:rPr>
        <w:t xml:space="preserve"> τη μελέτη και το αρχείο </w:t>
      </w:r>
      <w:r w:rsidR="00C9524C">
        <w:rPr>
          <w:i/>
          <w:iCs/>
          <w:color w:val="0070C0"/>
          <w:sz w:val="20"/>
          <w:szCs w:val="20"/>
        </w:rPr>
        <w:t xml:space="preserve">της σχετικής </w:t>
      </w:r>
      <w:r w:rsidRPr="00A07C48">
        <w:rPr>
          <w:i/>
          <w:iCs/>
          <w:color w:val="0070C0"/>
          <w:sz w:val="20"/>
          <w:szCs w:val="20"/>
        </w:rPr>
        <w:t>παρουσίασ</w:t>
      </w:r>
      <w:r w:rsidR="00C9524C">
        <w:rPr>
          <w:i/>
          <w:iCs/>
          <w:color w:val="0070C0"/>
          <w:sz w:val="20"/>
          <w:szCs w:val="20"/>
        </w:rPr>
        <w:t>η</w:t>
      </w:r>
      <w:r w:rsidRPr="00A07C48">
        <w:rPr>
          <w:i/>
          <w:iCs/>
          <w:color w:val="0070C0"/>
          <w:sz w:val="20"/>
          <w:szCs w:val="20"/>
        </w:rPr>
        <w:t xml:space="preserve">ς </w:t>
      </w:r>
      <w:hyperlink r:id="rId10" w:history="1">
        <w:r w:rsidRPr="006552CF">
          <w:rPr>
            <w:rStyle w:val="-"/>
            <w:b/>
            <w:bCs/>
            <w:i/>
            <w:iCs/>
            <w:sz w:val="20"/>
            <w:szCs w:val="20"/>
          </w:rPr>
          <w:t>εδ</w:t>
        </w:r>
        <w:r w:rsidRPr="006552CF">
          <w:rPr>
            <w:rStyle w:val="-"/>
            <w:b/>
            <w:bCs/>
            <w:i/>
            <w:iCs/>
            <w:sz w:val="20"/>
            <w:szCs w:val="20"/>
          </w:rPr>
          <w:t>ώ</w:t>
        </w:r>
      </w:hyperlink>
      <w:r w:rsidRPr="00A07C48">
        <w:rPr>
          <w:b/>
          <w:bCs/>
          <w:i/>
          <w:iCs/>
          <w:color w:val="0070C0"/>
        </w:rPr>
        <w:t>.</w:t>
      </w:r>
    </w:p>
    <w:p w14:paraId="35B994A4" w14:textId="77777777" w:rsidR="00AC4EB0" w:rsidRDefault="00AC4EB0" w:rsidP="00131CA5">
      <w:pPr>
        <w:pBdr>
          <w:top w:val="single" w:sz="4" w:space="1" w:color="auto"/>
        </w:pBdr>
        <w:spacing w:line="240" w:lineRule="auto"/>
        <w:jc w:val="both"/>
        <w:rPr>
          <w:b/>
          <w:bCs/>
          <w:i/>
          <w:iCs/>
        </w:rPr>
      </w:pPr>
    </w:p>
    <w:p w14:paraId="06D91ADB" w14:textId="77777777" w:rsidR="00AC4EB0" w:rsidRDefault="00AC4EB0" w:rsidP="00131CA5">
      <w:pPr>
        <w:pBdr>
          <w:top w:val="single" w:sz="4" w:space="1" w:color="auto"/>
        </w:pBdr>
        <w:spacing w:line="240" w:lineRule="auto"/>
        <w:jc w:val="both"/>
        <w:rPr>
          <w:b/>
          <w:bCs/>
          <w:i/>
          <w:iCs/>
        </w:rPr>
      </w:pPr>
    </w:p>
    <w:p w14:paraId="51E1449F" w14:textId="77777777" w:rsidR="00AC4EB0" w:rsidRDefault="00AC4EB0" w:rsidP="00131CA5">
      <w:pPr>
        <w:pBdr>
          <w:top w:val="single" w:sz="4" w:space="1" w:color="auto"/>
        </w:pBdr>
        <w:spacing w:line="240" w:lineRule="auto"/>
        <w:jc w:val="both"/>
        <w:rPr>
          <w:b/>
          <w:bCs/>
          <w:i/>
          <w:iCs/>
        </w:rPr>
      </w:pPr>
    </w:p>
    <w:p w14:paraId="6F5E089C" w14:textId="77777777" w:rsidR="00AC4EB0" w:rsidRPr="00910A8A" w:rsidRDefault="00AC4EB0" w:rsidP="00AC4EB0">
      <w:pPr>
        <w:pStyle w:val="a9"/>
        <w:keepNext/>
      </w:pPr>
      <w:r w:rsidRPr="00910A8A">
        <w:t>Διάγραμμα 1: Σύνολο επενδυτικών πόρων που κινητοποιούνται από τις επιχορηγήσεις σε έργα του Ταμείου Ανάκαμψης με άμεση σχέση με τη δραστηριότητα των Κατασκευών, ανά τομέα (εκτίμηση)</w:t>
      </w:r>
    </w:p>
    <w:p w14:paraId="057D3506" w14:textId="77777777" w:rsidR="00AC4EB0" w:rsidRPr="00C55746" w:rsidRDefault="00AC4EB0" w:rsidP="00AC4EB0">
      <w:pPr>
        <w:spacing w:before="120" w:after="120" w:line="276" w:lineRule="auto"/>
        <w:jc w:val="center"/>
      </w:pPr>
      <w:r>
        <w:rPr>
          <w:noProof/>
        </w:rPr>
        <w:drawing>
          <wp:inline distT="0" distB="0" distL="0" distR="0" wp14:anchorId="3C424777" wp14:editId="55BC7606">
            <wp:extent cx="4897120" cy="2209800"/>
            <wp:effectExtent l="0" t="0" r="0" b="0"/>
            <wp:docPr id="290341218" name="Γράφημα 1">
              <a:extLst xmlns:a="http://schemas.openxmlformats.org/drawingml/2006/main">
                <a:ext uri="{FF2B5EF4-FFF2-40B4-BE49-F238E27FC236}">
                  <a16:creationId xmlns:a16="http://schemas.microsoft.com/office/drawing/2014/main" id="{0517A51F-32EF-B544-398E-45C8F9A84A1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F67CD78" w14:textId="77777777" w:rsidR="00AC4EB0" w:rsidRPr="000C05B9" w:rsidRDefault="00AC4EB0" w:rsidP="00AC4EB0">
      <w:pPr>
        <w:spacing w:before="120" w:after="120" w:line="276" w:lineRule="auto"/>
        <w:rPr>
          <w:sz w:val="16"/>
        </w:rPr>
      </w:pPr>
      <w:r w:rsidRPr="000C05B9">
        <w:rPr>
          <w:b/>
          <w:sz w:val="16"/>
        </w:rPr>
        <w:t>Πηγή</w:t>
      </w:r>
      <w:r w:rsidRPr="000C05B9">
        <w:rPr>
          <w:sz w:val="16"/>
        </w:rPr>
        <w:t>: Ελλάδα 2.0 Εθνικό Σχέδιο Ανάκαμψης και Ανθεκτικότητας. Εκτιμήσεις ΙΟΒΕ</w:t>
      </w:r>
      <w:r>
        <w:rPr>
          <w:sz w:val="16"/>
        </w:rPr>
        <w:t>.</w:t>
      </w:r>
    </w:p>
    <w:p w14:paraId="12BC9922" w14:textId="77777777" w:rsidR="00AC4EB0" w:rsidRDefault="00AC4EB0" w:rsidP="00131CA5">
      <w:pPr>
        <w:pBdr>
          <w:top w:val="single" w:sz="4" w:space="1" w:color="auto"/>
        </w:pBdr>
        <w:spacing w:line="240" w:lineRule="auto"/>
        <w:jc w:val="both"/>
        <w:rPr>
          <w:b/>
          <w:bCs/>
          <w:i/>
          <w:iCs/>
        </w:rPr>
      </w:pPr>
    </w:p>
    <w:p w14:paraId="41225003" w14:textId="77777777" w:rsidR="00C9524C" w:rsidRDefault="00C9524C" w:rsidP="00131CA5">
      <w:pPr>
        <w:pBdr>
          <w:top w:val="single" w:sz="4" w:space="1" w:color="auto"/>
        </w:pBdr>
        <w:spacing w:line="240" w:lineRule="auto"/>
        <w:jc w:val="both"/>
        <w:rPr>
          <w:b/>
          <w:bCs/>
          <w:i/>
          <w:iCs/>
        </w:rPr>
      </w:pPr>
    </w:p>
    <w:p w14:paraId="4DC0127C" w14:textId="77777777" w:rsidR="00AC4EB0" w:rsidRPr="00234F83" w:rsidRDefault="00AC4EB0" w:rsidP="00AC4EB0">
      <w:pPr>
        <w:pStyle w:val="a9"/>
        <w:keepNext/>
      </w:pPr>
      <w:r w:rsidRPr="00234F83">
        <w:lastRenderedPageBreak/>
        <w:t>Διάγραμμα 2: Προβολή της αξίας παραγωγής Κατασκευών, 20</w:t>
      </w:r>
      <w:r>
        <w:t>23</w:t>
      </w:r>
      <w:r w:rsidRPr="00234F83">
        <w:t>-2026</w:t>
      </w:r>
    </w:p>
    <w:p w14:paraId="5C91F583" w14:textId="77777777" w:rsidR="00AC4EB0" w:rsidRDefault="00AC4EB0" w:rsidP="00AC4EB0">
      <w:pPr>
        <w:spacing w:before="120" w:after="120" w:line="276" w:lineRule="auto"/>
      </w:pPr>
      <w:r>
        <w:rPr>
          <w:noProof/>
        </w:rPr>
        <w:drawing>
          <wp:inline distT="0" distB="0" distL="0" distR="0" wp14:anchorId="072CF107" wp14:editId="622756E8">
            <wp:extent cx="5278120" cy="2182090"/>
            <wp:effectExtent l="0" t="0" r="0" b="8890"/>
            <wp:docPr id="1774075182" name="Γράφημα 1">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68493F4" w14:textId="77777777" w:rsidR="00AC4EB0" w:rsidRPr="000B3547" w:rsidRDefault="00AC4EB0" w:rsidP="00AC4EB0">
      <w:pPr>
        <w:spacing w:before="120" w:after="120" w:line="276" w:lineRule="auto"/>
        <w:rPr>
          <w:sz w:val="16"/>
        </w:rPr>
      </w:pPr>
      <w:r w:rsidRPr="000B3547">
        <w:rPr>
          <w:b/>
          <w:sz w:val="16"/>
        </w:rPr>
        <w:t>Πηγή</w:t>
      </w:r>
      <w:r w:rsidRPr="000B3547">
        <w:rPr>
          <w:sz w:val="16"/>
        </w:rPr>
        <w:t xml:space="preserve">: </w:t>
      </w:r>
      <w:proofErr w:type="spellStart"/>
      <w:r w:rsidRPr="000B3547">
        <w:rPr>
          <w:sz w:val="16"/>
        </w:rPr>
        <w:t>Eurostat</w:t>
      </w:r>
      <w:proofErr w:type="spellEnd"/>
      <w:r w:rsidRPr="000B3547">
        <w:rPr>
          <w:sz w:val="16"/>
        </w:rPr>
        <w:t>, Εκτίμηση ΙΟΒΕ 202</w:t>
      </w:r>
      <w:r>
        <w:rPr>
          <w:sz w:val="16"/>
        </w:rPr>
        <w:t>3</w:t>
      </w:r>
      <w:r w:rsidRPr="000B3547">
        <w:rPr>
          <w:sz w:val="16"/>
        </w:rPr>
        <w:t>-2026</w:t>
      </w:r>
      <w:r>
        <w:rPr>
          <w:sz w:val="16"/>
        </w:rPr>
        <w:t>.</w:t>
      </w:r>
    </w:p>
    <w:p w14:paraId="114DE823" w14:textId="77777777" w:rsidR="00C9524C" w:rsidRDefault="00C9524C" w:rsidP="00AC4EB0">
      <w:pPr>
        <w:pStyle w:val="a9"/>
        <w:keepNext/>
      </w:pPr>
    </w:p>
    <w:p w14:paraId="4E24120B" w14:textId="5C645CED" w:rsidR="00AC4EB0" w:rsidRPr="00400F6E" w:rsidRDefault="00AC4EB0" w:rsidP="00AC4EB0">
      <w:pPr>
        <w:pStyle w:val="a9"/>
        <w:keepNext/>
      </w:pPr>
      <w:r w:rsidRPr="00400F6E">
        <w:t xml:space="preserve">Διάγραμμα </w:t>
      </w:r>
      <w:r>
        <w:t>3</w:t>
      </w:r>
      <w:r w:rsidRPr="00400F6E">
        <w:t xml:space="preserve">: </w:t>
      </w:r>
      <w:r w:rsidRPr="00EB1C21">
        <w:t>Εκτίμηση αναγκών θέσεων εργασίας στις Κατασκευές</w:t>
      </w:r>
    </w:p>
    <w:p w14:paraId="58D50E54" w14:textId="77777777" w:rsidR="00AC4EB0" w:rsidRDefault="00AC4EB0" w:rsidP="00AC4EB0">
      <w:pPr>
        <w:spacing w:before="120" w:after="120" w:line="276" w:lineRule="auto"/>
        <w:rPr>
          <w:sz w:val="20"/>
          <w:szCs w:val="20"/>
        </w:rPr>
      </w:pPr>
    </w:p>
    <w:p w14:paraId="0093A0A9" w14:textId="77777777" w:rsidR="00AC4EB0" w:rsidRPr="005C25B7" w:rsidRDefault="00AC4EB0" w:rsidP="00AC4EB0">
      <w:pPr>
        <w:spacing w:before="120" w:after="120" w:line="276" w:lineRule="auto"/>
        <w:rPr>
          <w:sz w:val="20"/>
          <w:szCs w:val="20"/>
        </w:rPr>
      </w:pPr>
      <w:r>
        <w:rPr>
          <w:noProof/>
        </w:rPr>
        <w:drawing>
          <wp:inline distT="0" distB="0" distL="0" distR="0" wp14:anchorId="6B4A68F2" wp14:editId="20A8F604">
            <wp:extent cx="5227320" cy="1794164"/>
            <wp:effectExtent l="0" t="0" r="0" b="0"/>
            <wp:docPr id="590739141" name="Γράφημα 1">
              <a:extLst xmlns:a="http://schemas.openxmlformats.org/drawingml/2006/main">
                <a:ext uri="{FF2B5EF4-FFF2-40B4-BE49-F238E27FC236}">
                  <a16:creationId xmlns:a16="http://schemas.microsoft.com/office/drawing/2014/main" id="{30A2DE28-4949-09B7-BD78-E948ED6FC1C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EB5FEAF" w14:textId="1CE003DD" w:rsidR="00AC4EB0" w:rsidRPr="00A07C48" w:rsidRDefault="00AC4EB0" w:rsidP="00FD07A8">
      <w:pPr>
        <w:pBdr>
          <w:bottom w:val="single" w:sz="4" w:space="1" w:color="auto"/>
        </w:pBdr>
        <w:spacing w:before="120" w:after="120" w:line="276" w:lineRule="auto"/>
        <w:rPr>
          <w:sz w:val="16"/>
          <w:szCs w:val="16"/>
        </w:rPr>
      </w:pPr>
      <w:r w:rsidRPr="00EB1C21">
        <w:rPr>
          <w:b/>
          <w:bCs/>
          <w:sz w:val="16"/>
          <w:szCs w:val="16"/>
        </w:rPr>
        <w:t>Πηγή</w:t>
      </w:r>
      <w:r w:rsidRPr="00EB1C21">
        <w:rPr>
          <w:sz w:val="16"/>
          <w:szCs w:val="16"/>
        </w:rPr>
        <w:t>: ΙΟΒΕ</w:t>
      </w:r>
      <w:r>
        <w:rPr>
          <w:sz w:val="16"/>
          <w:szCs w:val="16"/>
        </w:rPr>
        <w:t>.</w:t>
      </w:r>
    </w:p>
    <w:sectPr w:rsidR="00AC4EB0" w:rsidRPr="00A07C48" w:rsidSect="0096447B">
      <w:headerReference w:type="default" r:id="rId14"/>
      <w:footerReference w:type="default" r:id="rId15"/>
      <w:headerReference w:type="first" r:id="rId16"/>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2A65B0" w14:textId="77777777" w:rsidR="0096447B" w:rsidRDefault="0096447B" w:rsidP="00F05B67">
      <w:pPr>
        <w:spacing w:after="0" w:line="240" w:lineRule="auto"/>
      </w:pPr>
      <w:r>
        <w:separator/>
      </w:r>
    </w:p>
  </w:endnote>
  <w:endnote w:type="continuationSeparator" w:id="0">
    <w:p w14:paraId="20477FA1" w14:textId="77777777" w:rsidR="0096447B" w:rsidRDefault="0096447B" w:rsidP="00F05B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86681960"/>
      <w:docPartObj>
        <w:docPartGallery w:val="Page Numbers (Bottom of Page)"/>
        <w:docPartUnique/>
      </w:docPartObj>
    </w:sdtPr>
    <w:sdtEndPr>
      <w:rPr>
        <w:noProof/>
      </w:rPr>
    </w:sdtEndPr>
    <w:sdtContent>
      <w:p w14:paraId="7018E57C" w14:textId="63928ADB" w:rsidR="00F05B67" w:rsidRDefault="00F05B67">
        <w:pPr>
          <w:pStyle w:val="a6"/>
          <w:jc w:val="center"/>
        </w:pPr>
        <w:r>
          <w:fldChar w:fldCharType="begin"/>
        </w:r>
        <w:r>
          <w:instrText xml:space="preserve"> PAGE   \* MERGEFORMAT </w:instrText>
        </w:r>
        <w:r>
          <w:fldChar w:fldCharType="separate"/>
        </w:r>
        <w:r>
          <w:rPr>
            <w:noProof/>
          </w:rPr>
          <w:t>2</w:t>
        </w:r>
        <w:r>
          <w:rPr>
            <w:noProof/>
          </w:rPr>
          <w:fldChar w:fldCharType="end"/>
        </w:r>
      </w:p>
    </w:sdtContent>
  </w:sdt>
  <w:p w14:paraId="067C8F88" w14:textId="77777777" w:rsidR="00F05B67" w:rsidRDefault="00F05B6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ADF788" w14:textId="77777777" w:rsidR="0096447B" w:rsidRDefault="0096447B" w:rsidP="00F05B67">
      <w:pPr>
        <w:spacing w:after="0" w:line="240" w:lineRule="auto"/>
      </w:pPr>
      <w:r>
        <w:separator/>
      </w:r>
    </w:p>
  </w:footnote>
  <w:footnote w:type="continuationSeparator" w:id="0">
    <w:p w14:paraId="16E7F489" w14:textId="77777777" w:rsidR="0096447B" w:rsidRDefault="0096447B" w:rsidP="00F05B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0BC2DA" w14:textId="5D99FCCE" w:rsidR="00046603" w:rsidRDefault="00046603">
    <w:pPr>
      <w:pStyle w:val="a5"/>
    </w:pPr>
  </w:p>
  <w:p w14:paraId="7CA33EBA" w14:textId="77777777" w:rsidR="00046603" w:rsidRDefault="00046603">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A7ACDC" w14:textId="13BFC7E7" w:rsidR="00046603" w:rsidRDefault="00046603">
    <w:pPr>
      <w:pStyle w:val="a5"/>
    </w:pPr>
    <w:r>
      <w:rPr>
        <w:noProof/>
      </w:rPr>
      <w:drawing>
        <wp:anchor distT="0" distB="0" distL="114300" distR="114300" simplePos="0" relativeHeight="251659264" behindDoc="1" locked="0" layoutInCell="1" allowOverlap="1" wp14:anchorId="358E22DE" wp14:editId="4DF7CA2B">
          <wp:simplePos x="0" y="0"/>
          <wp:positionH relativeFrom="margin">
            <wp:posOffset>3114675</wp:posOffset>
          </wp:positionH>
          <wp:positionV relativeFrom="paragraph">
            <wp:posOffset>-383540</wp:posOffset>
          </wp:positionV>
          <wp:extent cx="2666365" cy="1501140"/>
          <wp:effectExtent l="0" t="0" r="635" b="3810"/>
          <wp:wrapTight wrapText="bothSides">
            <wp:wrapPolygon edited="0">
              <wp:start x="0" y="0"/>
              <wp:lineTo x="0" y="21381"/>
              <wp:lineTo x="21451" y="21381"/>
              <wp:lineTo x="21451" y="0"/>
              <wp:lineTo x="0" y="0"/>
            </wp:wrapPolygon>
          </wp:wrapTight>
          <wp:docPr id="984441810" name="Picture 3" descr="A logo with blue and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441810" name="Picture 3" descr="A logo with blue and black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666365" cy="15011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7F2F376C" wp14:editId="48DEC413">
          <wp:simplePos x="0" y="0"/>
          <wp:positionH relativeFrom="margin">
            <wp:align>left</wp:align>
          </wp:positionH>
          <wp:positionV relativeFrom="paragraph">
            <wp:posOffset>-240030</wp:posOffset>
          </wp:positionV>
          <wp:extent cx="1212850" cy="1155700"/>
          <wp:effectExtent l="0" t="0" r="6350" b="6350"/>
          <wp:wrapTight wrapText="bothSides">
            <wp:wrapPolygon edited="0">
              <wp:start x="0" y="0"/>
              <wp:lineTo x="0" y="21363"/>
              <wp:lineTo x="21374" y="21363"/>
              <wp:lineTo x="21374" y="0"/>
              <wp:lineTo x="0" y="0"/>
            </wp:wrapPolygon>
          </wp:wrapTight>
          <wp:docPr id="837810810" name="Picture 2" descr="A logo with green circles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810810" name="Picture 2" descr="A logo with green circles and white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212850" cy="11557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3D4"/>
    <w:rsid w:val="0000060E"/>
    <w:rsid w:val="0000660A"/>
    <w:rsid w:val="000075D2"/>
    <w:rsid w:val="0001345A"/>
    <w:rsid w:val="00021862"/>
    <w:rsid w:val="00021A2B"/>
    <w:rsid w:val="000241D3"/>
    <w:rsid w:val="000251F1"/>
    <w:rsid w:val="00027A8C"/>
    <w:rsid w:val="00041649"/>
    <w:rsid w:val="000418F8"/>
    <w:rsid w:val="00046603"/>
    <w:rsid w:val="0004682B"/>
    <w:rsid w:val="0007177B"/>
    <w:rsid w:val="0008421D"/>
    <w:rsid w:val="00086EAC"/>
    <w:rsid w:val="000A03EA"/>
    <w:rsid w:val="000B7A1C"/>
    <w:rsid w:val="000B7DA5"/>
    <w:rsid w:val="000D0F4B"/>
    <w:rsid w:val="000E2205"/>
    <w:rsid w:val="00131CA5"/>
    <w:rsid w:val="0013636D"/>
    <w:rsid w:val="00171477"/>
    <w:rsid w:val="001852E7"/>
    <w:rsid w:val="0019071B"/>
    <w:rsid w:val="00195F83"/>
    <w:rsid w:val="001A4931"/>
    <w:rsid w:val="001A51D4"/>
    <w:rsid w:val="001A634A"/>
    <w:rsid w:val="001D2B37"/>
    <w:rsid w:val="00201160"/>
    <w:rsid w:val="0021740F"/>
    <w:rsid w:val="00226D47"/>
    <w:rsid w:val="002365F9"/>
    <w:rsid w:val="00247732"/>
    <w:rsid w:val="0025582B"/>
    <w:rsid w:val="002B1582"/>
    <w:rsid w:val="002D6508"/>
    <w:rsid w:val="002F0187"/>
    <w:rsid w:val="00314EE8"/>
    <w:rsid w:val="00323B2D"/>
    <w:rsid w:val="00325945"/>
    <w:rsid w:val="00336E2D"/>
    <w:rsid w:val="00370C4C"/>
    <w:rsid w:val="00391FF7"/>
    <w:rsid w:val="003A06D0"/>
    <w:rsid w:val="003C1408"/>
    <w:rsid w:val="003C187A"/>
    <w:rsid w:val="003C3274"/>
    <w:rsid w:val="003C782B"/>
    <w:rsid w:val="003D2715"/>
    <w:rsid w:val="003E09CC"/>
    <w:rsid w:val="003E3258"/>
    <w:rsid w:val="003E77F4"/>
    <w:rsid w:val="0040222A"/>
    <w:rsid w:val="004046F0"/>
    <w:rsid w:val="00404FE0"/>
    <w:rsid w:val="00414919"/>
    <w:rsid w:val="004363FD"/>
    <w:rsid w:val="00443642"/>
    <w:rsid w:val="00470898"/>
    <w:rsid w:val="004A2EAC"/>
    <w:rsid w:val="004C7CF5"/>
    <w:rsid w:val="004D568B"/>
    <w:rsid w:val="004E3227"/>
    <w:rsid w:val="004F58CB"/>
    <w:rsid w:val="00527EFB"/>
    <w:rsid w:val="00530506"/>
    <w:rsid w:val="005418F3"/>
    <w:rsid w:val="00561762"/>
    <w:rsid w:val="00567F01"/>
    <w:rsid w:val="0058335B"/>
    <w:rsid w:val="00591C48"/>
    <w:rsid w:val="005A74EA"/>
    <w:rsid w:val="005D40A9"/>
    <w:rsid w:val="005E3C75"/>
    <w:rsid w:val="005F5D20"/>
    <w:rsid w:val="0061436B"/>
    <w:rsid w:val="006329AD"/>
    <w:rsid w:val="00650CC1"/>
    <w:rsid w:val="006552CF"/>
    <w:rsid w:val="00662213"/>
    <w:rsid w:val="006776ED"/>
    <w:rsid w:val="00684B6B"/>
    <w:rsid w:val="006A0BA3"/>
    <w:rsid w:val="006C6DEF"/>
    <w:rsid w:val="006E5DB8"/>
    <w:rsid w:val="006F1219"/>
    <w:rsid w:val="00707F62"/>
    <w:rsid w:val="00713E45"/>
    <w:rsid w:val="007177F2"/>
    <w:rsid w:val="00753052"/>
    <w:rsid w:val="00763975"/>
    <w:rsid w:val="007676D8"/>
    <w:rsid w:val="00767F8B"/>
    <w:rsid w:val="00777720"/>
    <w:rsid w:val="00795BB6"/>
    <w:rsid w:val="007B7521"/>
    <w:rsid w:val="00801FC4"/>
    <w:rsid w:val="0080387D"/>
    <w:rsid w:val="00826CE9"/>
    <w:rsid w:val="008306F8"/>
    <w:rsid w:val="008325B1"/>
    <w:rsid w:val="00861F10"/>
    <w:rsid w:val="00862675"/>
    <w:rsid w:val="0087031E"/>
    <w:rsid w:val="00887667"/>
    <w:rsid w:val="0090731D"/>
    <w:rsid w:val="00916F62"/>
    <w:rsid w:val="0095330D"/>
    <w:rsid w:val="0096447B"/>
    <w:rsid w:val="00971AF8"/>
    <w:rsid w:val="009A6DF8"/>
    <w:rsid w:val="009B6BEC"/>
    <w:rsid w:val="009C0A3E"/>
    <w:rsid w:val="009E294A"/>
    <w:rsid w:val="009E2AAD"/>
    <w:rsid w:val="00A00EED"/>
    <w:rsid w:val="00A05199"/>
    <w:rsid w:val="00A07C48"/>
    <w:rsid w:val="00A115DC"/>
    <w:rsid w:val="00A3044F"/>
    <w:rsid w:val="00A30C28"/>
    <w:rsid w:val="00A3717D"/>
    <w:rsid w:val="00A50D44"/>
    <w:rsid w:val="00A632A5"/>
    <w:rsid w:val="00A6488E"/>
    <w:rsid w:val="00A84AB3"/>
    <w:rsid w:val="00A932B8"/>
    <w:rsid w:val="00AA5CED"/>
    <w:rsid w:val="00AB78FD"/>
    <w:rsid w:val="00AC4E11"/>
    <w:rsid w:val="00AC4EB0"/>
    <w:rsid w:val="00AC5560"/>
    <w:rsid w:val="00AF12A1"/>
    <w:rsid w:val="00B06306"/>
    <w:rsid w:val="00B22F36"/>
    <w:rsid w:val="00B240EA"/>
    <w:rsid w:val="00B33D3C"/>
    <w:rsid w:val="00B342D6"/>
    <w:rsid w:val="00B45E88"/>
    <w:rsid w:val="00B50BB5"/>
    <w:rsid w:val="00B53DBB"/>
    <w:rsid w:val="00B54BE6"/>
    <w:rsid w:val="00B554C9"/>
    <w:rsid w:val="00B620C6"/>
    <w:rsid w:val="00B90395"/>
    <w:rsid w:val="00BA613B"/>
    <w:rsid w:val="00BA6652"/>
    <w:rsid w:val="00BB3066"/>
    <w:rsid w:val="00BC7C35"/>
    <w:rsid w:val="00BD4C88"/>
    <w:rsid w:val="00BE63D4"/>
    <w:rsid w:val="00BF47C6"/>
    <w:rsid w:val="00BF64D3"/>
    <w:rsid w:val="00C00A41"/>
    <w:rsid w:val="00C03F50"/>
    <w:rsid w:val="00C14805"/>
    <w:rsid w:val="00C33526"/>
    <w:rsid w:val="00C60D86"/>
    <w:rsid w:val="00C63BC0"/>
    <w:rsid w:val="00C815FB"/>
    <w:rsid w:val="00C9524C"/>
    <w:rsid w:val="00CA2031"/>
    <w:rsid w:val="00CB5188"/>
    <w:rsid w:val="00CB78F7"/>
    <w:rsid w:val="00CD501E"/>
    <w:rsid w:val="00CD5975"/>
    <w:rsid w:val="00D02DBF"/>
    <w:rsid w:val="00D2267B"/>
    <w:rsid w:val="00D25D64"/>
    <w:rsid w:val="00D27281"/>
    <w:rsid w:val="00D30D39"/>
    <w:rsid w:val="00D52637"/>
    <w:rsid w:val="00D53E59"/>
    <w:rsid w:val="00D54CBF"/>
    <w:rsid w:val="00D56C28"/>
    <w:rsid w:val="00D65ACD"/>
    <w:rsid w:val="00D90413"/>
    <w:rsid w:val="00D96CF0"/>
    <w:rsid w:val="00DA36D8"/>
    <w:rsid w:val="00DA7C04"/>
    <w:rsid w:val="00DB28DD"/>
    <w:rsid w:val="00DC13CE"/>
    <w:rsid w:val="00DD549D"/>
    <w:rsid w:val="00DF1A8D"/>
    <w:rsid w:val="00E02F78"/>
    <w:rsid w:val="00E13288"/>
    <w:rsid w:val="00E3172E"/>
    <w:rsid w:val="00E32133"/>
    <w:rsid w:val="00E34D4A"/>
    <w:rsid w:val="00E46A14"/>
    <w:rsid w:val="00E539F2"/>
    <w:rsid w:val="00E64EF4"/>
    <w:rsid w:val="00E72C00"/>
    <w:rsid w:val="00EC1944"/>
    <w:rsid w:val="00EC6ECE"/>
    <w:rsid w:val="00EF5841"/>
    <w:rsid w:val="00F05B67"/>
    <w:rsid w:val="00F13044"/>
    <w:rsid w:val="00F15AFB"/>
    <w:rsid w:val="00F47480"/>
    <w:rsid w:val="00F65BCE"/>
    <w:rsid w:val="00F72439"/>
    <w:rsid w:val="00F73C59"/>
    <w:rsid w:val="00F84407"/>
    <w:rsid w:val="00FA553A"/>
    <w:rsid w:val="00FC0B6B"/>
    <w:rsid w:val="00FC3F98"/>
    <w:rsid w:val="00FD07A8"/>
    <w:rsid w:val="00FD4854"/>
    <w:rsid w:val="00FD7966"/>
    <w:rsid w:val="00FF068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9EE56"/>
  <w15:chartTrackingRefBased/>
  <w15:docId w15:val="{ECD7E5CB-1CB0-4CAE-8083-144EA79CC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EC6ECE"/>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EC6ECE"/>
    <w:rPr>
      <w:rFonts w:ascii="Segoe UI" w:hAnsi="Segoe UI" w:cs="Segoe UI"/>
      <w:sz w:val="18"/>
      <w:szCs w:val="18"/>
    </w:rPr>
  </w:style>
  <w:style w:type="paragraph" w:styleId="a4">
    <w:name w:val="Revision"/>
    <w:hidden/>
    <w:uiPriority w:val="99"/>
    <w:semiHidden/>
    <w:rsid w:val="0000660A"/>
    <w:pPr>
      <w:spacing w:after="0" w:line="240" w:lineRule="auto"/>
    </w:pPr>
  </w:style>
  <w:style w:type="paragraph" w:styleId="a5">
    <w:name w:val="header"/>
    <w:basedOn w:val="a"/>
    <w:link w:val="Char0"/>
    <w:uiPriority w:val="99"/>
    <w:unhideWhenUsed/>
    <w:rsid w:val="00F05B67"/>
    <w:pPr>
      <w:tabs>
        <w:tab w:val="center" w:pos="4153"/>
        <w:tab w:val="right" w:pos="8306"/>
      </w:tabs>
      <w:spacing w:after="0" w:line="240" w:lineRule="auto"/>
    </w:pPr>
  </w:style>
  <w:style w:type="character" w:customStyle="1" w:styleId="Char0">
    <w:name w:val="Κεφαλίδα Char"/>
    <w:basedOn w:val="a0"/>
    <w:link w:val="a5"/>
    <w:uiPriority w:val="99"/>
    <w:rsid w:val="00F05B67"/>
  </w:style>
  <w:style w:type="paragraph" w:styleId="a6">
    <w:name w:val="footer"/>
    <w:basedOn w:val="a"/>
    <w:link w:val="Char1"/>
    <w:unhideWhenUsed/>
    <w:rsid w:val="00F05B67"/>
    <w:pPr>
      <w:tabs>
        <w:tab w:val="center" w:pos="4153"/>
        <w:tab w:val="right" w:pos="8306"/>
      </w:tabs>
      <w:spacing w:after="0" w:line="240" w:lineRule="auto"/>
    </w:pPr>
  </w:style>
  <w:style w:type="character" w:customStyle="1" w:styleId="Char1">
    <w:name w:val="Υποσέλιδο Char"/>
    <w:basedOn w:val="a0"/>
    <w:link w:val="a6"/>
    <w:uiPriority w:val="99"/>
    <w:rsid w:val="00F05B67"/>
  </w:style>
  <w:style w:type="character" w:styleId="a7">
    <w:name w:val="page number"/>
    <w:basedOn w:val="a0"/>
    <w:rsid w:val="00C33526"/>
  </w:style>
  <w:style w:type="paragraph" w:styleId="a8">
    <w:name w:val="Body Text"/>
    <w:basedOn w:val="a"/>
    <w:link w:val="Char2"/>
    <w:rsid w:val="00C33526"/>
    <w:pPr>
      <w:spacing w:after="0" w:line="240" w:lineRule="auto"/>
    </w:pPr>
    <w:rPr>
      <w:rFonts w:ascii="Times New Roman" w:eastAsia="Times New Roman" w:hAnsi="Times New Roman" w:cs="Times New Roman"/>
      <w:szCs w:val="20"/>
      <w:lang w:val="en-US" w:eastAsia="el-GR"/>
    </w:rPr>
  </w:style>
  <w:style w:type="character" w:customStyle="1" w:styleId="Char2">
    <w:name w:val="Σώμα κειμένου Char"/>
    <w:basedOn w:val="a0"/>
    <w:link w:val="a8"/>
    <w:rsid w:val="00C33526"/>
    <w:rPr>
      <w:rFonts w:ascii="Times New Roman" w:eastAsia="Times New Roman" w:hAnsi="Times New Roman" w:cs="Times New Roman"/>
      <w:szCs w:val="20"/>
      <w:lang w:val="en-US" w:eastAsia="el-GR"/>
    </w:rPr>
  </w:style>
  <w:style w:type="paragraph" w:styleId="a9">
    <w:name w:val="caption"/>
    <w:aliases w:val="R Caption,Fig Caption"/>
    <w:basedOn w:val="a"/>
    <w:next w:val="a"/>
    <w:uiPriority w:val="35"/>
    <w:unhideWhenUsed/>
    <w:qFormat/>
    <w:rsid w:val="00AC4EB0"/>
    <w:pPr>
      <w:spacing w:line="240" w:lineRule="auto"/>
      <w:jc w:val="both"/>
    </w:pPr>
    <w:rPr>
      <w:b/>
      <w:bCs/>
      <w:color w:val="5B9BD5" w:themeColor="accent1"/>
      <w:sz w:val="18"/>
      <w:szCs w:val="18"/>
    </w:rPr>
  </w:style>
  <w:style w:type="character" w:styleId="-">
    <w:name w:val="Hyperlink"/>
    <w:basedOn w:val="a0"/>
    <w:uiPriority w:val="99"/>
    <w:unhideWhenUsed/>
    <w:rsid w:val="006552CF"/>
    <w:rPr>
      <w:color w:val="0563C1" w:themeColor="hyperlink"/>
      <w:u w:val="single"/>
    </w:rPr>
  </w:style>
  <w:style w:type="character" w:styleId="aa">
    <w:name w:val="Unresolved Mention"/>
    <w:basedOn w:val="a0"/>
    <w:uiPriority w:val="99"/>
    <w:semiHidden/>
    <w:unhideWhenUsed/>
    <w:rsid w:val="006552CF"/>
    <w:rPr>
      <w:color w:val="605E5C"/>
      <w:shd w:val="clear" w:color="auto" w:fill="E1DFDD"/>
    </w:rPr>
  </w:style>
  <w:style w:type="character" w:styleId="-0">
    <w:name w:val="FollowedHyperlink"/>
    <w:basedOn w:val="a0"/>
    <w:uiPriority w:val="99"/>
    <w:semiHidden/>
    <w:unhideWhenUsed/>
    <w:rsid w:val="006552C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hart" Target="charts/chart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hart" Target="charts/chart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hart" Target="charts/chart1.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tmede.gr/wp-content/uploads/2024/03/%CE%A4%CE%91%CE%A3%CE%95%CE%99%CE%A3-%CE%A0%CE%A1%CE%9F%CE%9A%CE%9B%CE%97%CE%A3%CE%95%CE%99%CE%A3-%CE%A0%CE%A1%CE%9F%CE%9F%CE%A0%CE%A4%CE%99%CE%9A%CE%95%CE%A3-%CE%A4%CE%A9%CE%9D-%CE%9A%CE%91%CE%A4%CE%91%CE%A3%CE%9A%CE%95%CE%A5%CE%A9%CE%9D-%CE%A3%CE%A4%CE%97%CE%9D-%CE%95%CE%9B%CE%9B%CE%91%CE%94%CE%91.pdf"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charts/_rels/chart1.xml.rels><?xml version="1.0" encoding="UTF-8" standalone="yes"?>
<Relationships xmlns="http://schemas.openxmlformats.org/package/2006/relationships"><Relationship Id="rId3" Type="http://schemas.openxmlformats.org/officeDocument/2006/relationships/oleObject" Target="https://iobe2020-my.sharepoint.com/personal/maniatis_iobe_gr/Documents/&#932;&#924;&#917;&#916;&#917;%202023/&#917;&#929;&#915;&#913;%20&#932;&#913;&#913;%202023.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iobe2020.sharepoint.com/sites/-377/Shared%20Documents/General/2023/Data/Graph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iobe2020-my.sharepoint.com/personal/maniatis_iobe_gr/Documents/&#932;&#924;&#917;&#916;&#917;%202023/Data/nama_10_a64__Basic%20Statistics.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'[ΕΡΓΑ ΤΑΑ 2023.xlsx]ΕΡΓΑ ΤΑΑ'!$R$12</c:f>
              <c:strCache>
                <c:ptCount val="1"/>
                <c:pt idx="0">
                  <c:v>Επιχορηγήσεις</c:v>
                </c:pt>
              </c:strCache>
            </c:strRef>
          </c:tx>
          <c:spPr>
            <a:solidFill>
              <a:schemeClr val="accent1"/>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0-5BBA-466A-BCAC-C2B0A59BB69C}"/>
                </c:ext>
              </c:extLst>
            </c:dLbl>
            <c:dLbl>
              <c:idx val="1"/>
              <c:delete val="1"/>
              <c:extLst>
                <c:ext xmlns:c15="http://schemas.microsoft.com/office/drawing/2012/chart" uri="{CE6537A1-D6FC-4f65-9D91-7224C49458BB}"/>
                <c:ext xmlns:c16="http://schemas.microsoft.com/office/drawing/2014/chart" uri="{C3380CC4-5D6E-409C-BE32-E72D297353CC}">
                  <c16:uniqueId val="{00000001-5BBA-466A-BCAC-C2B0A59BB69C}"/>
                </c:ext>
              </c:extLst>
            </c:dLbl>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Trebuchet MS" panose="020B0603020202020204" pitchFamily="34" charset="0"/>
                    <a:ea typeface="+mn-ea"/>
                    <a:cs typeface="+mn-cs"/>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'[ΕΡΓΑ ΤΑΑ 2023.xlsx]ΕΡΓΑ ΤΑΑ'!$Q$13:$Q$16</c:f>
              <c:strCache>
                <c:ptCount val="4"/>
                <c:pt idx="0">
                  <c:v>Ψηφιακός Μετασχηματισμός</c:v>
                </c:pt>
                <c:pt idx="1">
                  <c:v>Απασχόληση, δεξιότητες, κοινωνική συνοχή</c:v>
                </c:pt>
                <c:pt idx="2">
                  <c:v>Ιδιωτικές επενδύσεις και μετασχηματισμός της οικονομίας</c:v>
                </c:pt>
                <c:pt idx="3">
                  <c:v>Πράσινη Μετάβαση</c:v>
                </c:pt>
              </c:strCache>
            </c:strRef>
          </c:cat>
          <c:val>
            <c:numRef>
              <c:f>'[ΕΡΓΑ ΤΑΑ 2023.xlsx]ΕΡΓΑ ΤΑΑ'!$R$13:$R$16</c:f>
              <c:numCache>
                <c:formatCode>#,##0</c:formatCode>
                <c:ptCount val="4"/>
                <c:pt idx="0">
                  <c:v>394</c:v>
                </c:pt>
                <c:pt idx="1">
                  <c:v>483</c:v>
                </c:pt>
                <c:pt idx="2">
                  <c:v>2718</c:v>
                </c:pt>
                <c:pt idx="3">
                  <c:v>6338</c:v>
                </c:pt>
              </c:numCache>
            </c:numRef>
          </c:val>
          <c:extLst>
            <c:ext xmlns:c16="http://schemas.microsoft.com/office/drawing/2014/chart" uri="{C3380CC4-5D6E-409C-BE32-E72D297353CC}">
              <c16:uniqueId val="{00000002-5BBA-466A-BCAC-C2B0A59BB69C}"/>
            </c:ext>
          </c:extLst>
        </c:ser>
        <c:ser>
          <c:idx val="1"/>
          <c:order val="1"/>
          <c:tx>
            <c:strRef>
              <c:f>'[ΕΡΓΑ ΤΑΑ 2023.xlsx]ΕΡΓΑ ΤΑΑ'!$S$12</c:f>
              <c:strCache>
                <c:ptCount val="1"/>
                <c:pt idx="0">
                  <c:v>Κινητοποιούμενοι Πόροι</c:v>
                </c:pt>
              </c:strCache>
            </c:strRef>
          </c:tx>
          <c:spPr>
            <a:solidFill>
              <a:schemeClr val="accent2"/>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3-5BBA-466A-BCAC-C2B0A59BB69C}"/>
                </c:ext>
              </c:extLst>
            </c:dLbl>
            <c:dLbl>
              <c:idx val="1"/>
              <c:delete val="1"/>
              <c:extLst>
                <c:ext xmlns:c15="http://schemas.microsoft.com/office/drawing/2012/chart" uri="{CE6537A1-D6FC-4f65-9D91-7224C49458BB}"/>
                <c:ext xmlns:c16="http://schemas.microsoft.com/office/drawing/2014/chart" uri="{C3380CC4-5D6E-409C-BE32-E72D297353CC}">
                  <c16:uniqueId val="{00000004-5BBA-466A-BCAC-C2B0A59BB69C}"/>
                </c:ext>
              </c:extLst>
            </c:dLbl>
            <c:dLbl>
              <c:idx val="2"/>
              <c:spPr>
                <a:solidFill>
                  <a:schemeClr val="accent3">
                    <a:lumMod val="60000"/>
                    <a:lumOff val="40000"/>
                  </a:schemeClr>
                </a:solid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Trebuchet MS" panose="020B0603020202020204" pitchFamily="34" charset="0"/>
                      <a:ea typeface="+mn-ea"/>
                      <a:cs typeface="+mn-cs"/>
                    </a:defRPr>
                  </a:pPr>
                  <a:endParaRPr lang="el-GR"/>
                </a:p>
              </c:txPr>
              <c:showLegendKey val="0"/>
              <c:showVal val="1"/>
              <c:showCatName val="0"/>
              <c:showSerName val="0"/>
              <c:showPercent val="0"/>
              <c:showBubbleSize val="0"/>
              <c:extLst>
                <c:ext xmlns:c16="http://schemas.microsoft.com/office/drawing/2014/chart" uri="{C3380CC4-5D6E-409C-BE32-E72D297353CC}">
                  <c16:uniqueId val="{00000005-5BBA-466A-BCAC-C2B0A59BB69C}"/>
                </c:ext>
              </c:extLst>
            </c:dLbl>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Trebuchet MS" panose="020B0603020202020204" pitchFamily="34" charset="0"/>
                    <a:ea typeface="+mn-ea"/>
                    <a:cs typeface="+mn-cs"/>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'[ΕΡΓΑ ΤΑΑ 2023.xlsx]ΕΡΓΑ ΤΑΑ'!$Q$13:$Q$16</c:f>
              <c:strCache>
                <c:ptCount val="4"/>
                <c:pt idx="0">
                  <c:v>Ψηφιακός Μετασχηματισμός</c:v>
                </c:pt>
                <c:pt idx="1">
                  <c:v>Απασχόληση, δεξιότητες, κοινωνική συνοχή</c:v>
                </c:pt>
                <c:pt idx="2">
                  <c:v>Ιδιωτικές επενδύσεις και μετασχηματισμός της οικονομίας</c:v>
                </c:pt>
                <c:pt idx="3">
                  <c:v>Πράσινη Μετάβαση</c:v>
                </c:pt>
              </c:strCache>
            </c:strRef>
          </c:cat>
          <c:val>
            <c:numRef>
              <c:f>'[ΕΡΓΑ ΤΑΑ 2023.xlsx]ΕΡΓΑ ΤΑΑ'!$S$13:$S$16</c:f>
              <c:numCache>
                <c:formatCode>#,##0</c:formatCode>
                <c:ptCount val="4"/>
                <c:pt idx="0">
                  <c:v>0</c:v>
                </c:pt>
                <c:pt idx="1">
                  <c:v>0</c:v>
                </c:pt>
                <c:pt idx="2">
                  <c:v>100</c:v>
                </c:pt>
                <c:pt idx="3">
                  <c:v>2741</c:v>
                </c:pt>
              </c:numCache>
            </c:numRef>
          </c:val>
          <c:extLst>
            <c:ext xmlns:c16="http://schemas.microsoft.com/office/drawing/2014/chart" uri="{C3380CC4-5D6E-409C-BE32-E72D297353CC}">
              <c16:uniqueId val="{00000006-5BBA-466A-BCAC-C2B0A59BB69C}"/>
            </c:ext>
          </c:extLst>
        </c:ser>
        <c:ser>
          <c:idx val="2"/>
          <c:order val="2"/>
          <c:tx>
            <c:strRef>
              <c:f>'[ΕΡΓΑ ΤΑΑ 2023.xlsx]ΕΡΓΑ ΤΑΑ'!$T$12</c:f>
              <c:strCache>
                <c:ptCount val="1"/>
                <c:pt idx="0">
                  <c:v>Σύνολο</c:v>
                </c:pt>
              </c:strCache>
            </c:strRef>
          </c:tx>
          <c:spPr>
            <a:noFill/>
            <a:ln>
              <a:noFill/>
            </a:ln>
            <a:effectLst/>
          </c:spPr>
          <c:invertIfNegative val="0"/>
          <c:dLbls>
            <c:dLbl>
              <c:idx val="2"/>
              <c:layout>
                <c:manualLayout>
                  <c:x val="5.545535152667113E-4"/>
                  <c:y val="8.869179600886918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BBA-466A-BCAC-C2B0A59BB69C}"/>
                </c:ext>
              </c:extLst>
            </c:dLbl>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Trebuchet MS" panose="020B0603020202020204" pitchFamily="34" charset="0"/>
                    <a:ea typeface="+mn-ea"/>
                    <a:cs typeface="+mn-cs"/>
                  </a:defRPr>
                </a:pPr>
                <a:endParaRPr lang="el-GR"/>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'[ΕΡΓΑ ΤΑΑ 2023.xlsx]ΕΡΓΑ ΤΑΑ'!$Q$13:$Q$16</c:f>
              <c:strCache>
                <c:ptCount val="4"/>
                <c:pt idx="0">
                  <c:v>Ψηφιακός Μετασχηματισμός</c:v>
                </c:pt>
                <c:pt idx="1">
                  <c:v>Απασχόληση, δεξιότητες, κοινωνική συνοχή</c:v>
                </c:pt>
                <c:pt idx="2">
                  <c:v>Ιδιωτικές επενδύσεις και μετασχηματισμός της οικονομίας</c:v>
                </c:pt>
                <c:pt idx="3">
                  <c:v>Πράσινη Μετάβαση</c:v>
                </c:pt>
              </c:strCache>
            </c:strRef>
          </c:cat>
          <c:val>
            <c:numRef>
              <c:f>'[ΕΡΓΑ ΤΑΑ 2023.xlsx]ΕΡΓΑ ΤΑΑ'!$T$13:$T$16</c:f>
              <c:numCache>
                <c:formatCode>#,##0</c:formatCode>
                <c:ptCount val="4"/>
                <c:pt idx="0">
                  <c:v>394</c:v>
                </c:pt>
                <c:pt idx="1">
                  <c:v>483</c:v>
                </c:pt>
                <c:pt idx="2">
                  <c:v>2818</c:v>
                </c:pt>
                <c:pt idx="3">
                  <c:v>9079</c:v>
                </c:pt>
              </c:numCache>
            </c:numRef>
          </c:val>
          <c:extLst>
            <c:ext xmlns:c16="http://schemas.microsoft.com/office/drawing/2014/chart" uri="{C3380CC4-5D6E-409C-BE32-E72D297353CC}">
              <c16:uniqueId val="{00000008-5BBA-466A-BCAC-C2B0A59BB69C}"/>
            </c:ext>
          </c:extLst>
        </c:ser>
        <c:dLbls>
          <c:showLegendKey val="0"/>
          <c:showVal val="0"/>
          <c:showCatName val="0"/>
          <c:showSerName val="0"/>
          <c:showPercent val="0"/>
          <c:showBubbleSize val="0"/>
        </c:dLbls>
        <c:gapWidth val="50"/>
        <c:overlap val="100"/>
        <c:axId val="687977968"/>
        <c:axId val="1936383343"/>
      </c:barChart>
      <c:catAx>
        <c:axId val="68797796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rebuchet MS" panose="020B0603020202020204" pitchFamily="34" charset="0"/>
                <a:ea typeface="+mn-ea"/>
                <a:cs typeface="+mn-cs"/>
              </a:defRPr>
            </a:pPr>
            <a:endParaRPr lang="el-GR"/>
          </a:p>
        </c:txPr>
        <c:crossAx val="1936383343"/>
        <c:crosses val="autoZero"/>
        <c:auto val="1"/>
        <c:lblAlgn val="ctr"/>
        <c:lblOffset val="100"/>
        <c:noMultiLvlLbl val="0"/>
      </c:catAx>
      <c:valAx>
        <c:axId val="1936383343"/>
        <c:scaling>
          <c:orientation val="minMax"/>
          <c:max val="10000"/>
        </c:scaling>
        <c:delete val="0"/>
        <c:axPos val="b"/>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Trebuchet MS" panose="020B0603020202020204" pitchFamily="34" charset="0"/>
                    <a:ea typeface="+mn-ea"/>
                    <a:cs typeface="+mn-cs"/>
                  </a:defRPr>
                </a:pPr>
                <a:r>
                  <a:rPr lang="el-GR"/>
                  <a:t>εκατ. ευρώ</a:t>
                </a:r>
              </a:p>
            </c:rich>
          </c:tx>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Trebuchet MS" panose="020B0603020202020204" pitchFamily="34" charset="0"/>
                  <a:ea typeface="+mn-ea"/>
                  <a:cs typeface="+mn-cs"/>
                </a:defRPr>
              </a:pPr>
              <a:endParaRPr lang="el-GR"/>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rebuchet MS" panose="020B0603020202020204" pitchFamily="34" charset="0"/>
                <a:ea typeface="+mn-ea"/>
                <a:cs typeface="+mn-cs"/>
              </a:defRPr>
            </a:pPr>
            <a:endParaRPr lang="el-GR"/>
          </a:p>
        </c:txPr>
        <c:crossAx val="6879779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Trebuchet MS" panose="020B0603020202020204" pitchFamily="34" charset="0"/>
              <a:ea typeface="+mn-ea"/>
              <a:cs typeface="+mn-cs"/>
            </a:defRPr>
          </a:pPr>
          <a:endParaRPr lang="el-GR"/>
        </a:p>
      </c:txPr>
    </c:legend>
    <c:plotVisOnly val="1"/>
    <c:dispBlanksAs val="gap"/>
    <c:showDLblsOverMax val="0"/>
  </c:chart>
  <c:spPr>
    <a:solidFill>
      <a:schemeClr val="bg1"/>
    </a:solidFill>
    <a:ln w="9525" cap="flat" cmpd="sng" algn="ctr">
      <a:noFill/>
      <a:round/>
    </a:ln>
    <a:effectLst/>
  </c:spPr>
  <c:txPr>
    <a:bodyPr/>
    <a:lstStyle/>
    <a:p>
      <a:pPr>
        <a:defRPr sz="800">
          <a:latin typeface="Trebuchet MS" panose="020B0603020202020204" pitchFamily="34" charset="0"/>
        </a:defRPr>
      </a:pPr>
      <a:endParaRPr lang="el-G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'[Graphs.xlsx]5'!$B$38</c:f>
              <c:strCache>
                <c:ptCount val="1"/>
                <c:pt idx="0">
                  <c:v>Λοιπά κτίρια και έργα</c:v>
                </c:pt>
              </c:strCache>
            </c:strRef>
          </c:tx>
          <c:spPr>
            <a:solidFill>
              <a:schemeClr val="accent1"/>
            </a:solidFill>
            <a:ln>
              <a:noFill/>
            </a:ln>
            <a:effectLst/>
          </c:spPr>
          <c:invertIfNegative val="0"/>
          <c:cat>
            <c:strRef>
              <c:f>'[Graphs.xlsx]5'!$A$39:$A$63</c:f>
              <c:strCache>
                <c:ptCount val="25"/>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pt idx="14">
                  <c:v>2016</c:v>
                </c:pt>
                <c:pt idx="15">
                  <c:v>2017</c:v>
                </c:pt>
                <c:pt idx="16">
                  <c:v>2018</c:v>
                </c:pt>
                <c:pt idx="17">
                  <c:v>2019</c:v>
                </c:pt>
                <c:pt idx="18">
                  <c:v>2020</c:v>
                </c:pt>
                <c:pt idx="19">
                  <c:v>2021</c:v>
                </c:pt>
                <c:pt idx="20">
                  <c:v>2022</c:v>
                </c:pt>
                <c:pt idx="21">
                  <c:v>2023e</c:v>
                </c:pt>
                <c:pt idx="22">
                  <c:v>2024p</c:v>
                </c:pt>
                <c:pt idx="23">
                  <c:v>2025p</c:v>
                </c:pt>
                <c:pt idx="24">
                  <c:v>2026p</c:v>
                </c:pt>
              </c:strCache>
            </c:strRef>
          </c:cat>
          <c:val>
            <c:numRef>
              <c:f>'[Graphs.xlsx]5'!$B$39:$B$63</c:f>
              <c:numCache>
                <c:formatCode>#,##0</c:formatCode>
                <c:ptCount val="25"/>
                <c:pt idx="0">
                  <c:v>11238.821255737388</c:v>
                </c:pt>
                <c:pt idx="1">
                  <c:v>13068.917789318628</c:v>
                </c:pt>
                <c:pt idx="2">
                  <c:v>12482.150334509181</c:v>
                </c:pt>
                <c:pt idx="3">
                  <c:v>9408.8136833046447</c:v>
                </c:pt>
                <c:pt idx="4">
                  <c:v>12625.106040233764</c:v>
                </c:pt>
                <c:pt idx="5">
                  <c:v>10739.742253595494</c:v>
                </c:pt>
                <c:pt idx="6">
                  <c:v>12492.195450226132</c:v>
                </c:pt>
                <c:pt idx="7">
                  <c:v>13512.48818243698</c:v>
                </c:pt>
                <c:pt idx="8">
                  <c:v>10468.174767765428</c:v>
                </c:pt>
                <c:pt idx="9">
                  <c:v>6909.3605436874859</c:v>
                </c:pt>
                <c:pt idx="10">
                  <c:v>7653.3435780787131</c:v>
                </c:pt>
                <c:pt idx="11">
                  <c:v>9566.2468016753737</c:v>
                </c:pt>
                <c:pt idx="12">
                  <c:v>8795.6555929070637</c:v>
                </c:pt>
                <c:pt idx="13">
                  <c:v>9116.1456701893112</c:v>
                </c:pt>
                <c:pt idx="14">
                  <c:v>8941.8291226251386</c:v>
                </c:pt>
                <c:pt idx="15">
                  <c:v>6061.6771014492751</c:v>
                </c:pt>
                <c:pt idx="16">
                  <c:v>6309.0813067293675</c:v>
                </c:pt>
                <c:pt idx="17">
                  <c:v>6257.3468966262972</c:v>
                </c:pt>
                <c:pt idx="18">
                  <c:v>5456.3707003313493</c:v>
                </c:pt>
                <c:pt idx="19">
                  <c:v>6104.6311961950651</c:v>
                </c:pt>
                <c:pt idx="20">
                  <c:v>6848.0773665458883</c:v>
                </c:pt>
                <c:pt idx="21">
                  <c:v>8927.8120097580122</c:v>
                </c:pt>
                <c:pt idx="22">
                  <c:v>12856.538077758134</c:v>
                </c:pt>
                <c:pt idx="23">
                  <c:v>13214.365022859702</c:v>
                </c:pt>
                <c:pt idx="24">
                  <c:v>11744.714196549554</c:v>
                </c:pt>
              </c:numCache>
            </c:numRef>
          </c:val>
          <c:extLst>
            <c:ext xmlns:c16="http://schemas.microsoft.com/office/drawing/2014/chart" uri="{C3380CC4-5D6E-409C-BE32-E72D297353CC}">
              <c16:uniqueId val="{00000000-38F2-4EAB-BC56-4CAB943DB4A8}"/>
            </c:ext>
          </c:extLst>
        </c:ser>
        <c:ser>
          <c:idx val="1"/>
          <c:order val="1"/>
          <c:tx>
            <c:strRef>
              <c:f>'[Graphs.xlsx]5'!$C$38</c:f>
              <c:strCache>
                <c:ptCount val="1"/>
                <c:pt idx="0">
                  <c:v>Κατοικίες</c:v>
                </c:pt>
              </c:strCache>
            </c:strRef>
          </c:tx>
          <c:spPr>
            <a:solidFill>
              <a:schemeClr val="accent2"/>
            </a:solidFill>
            <a:ln>
              <a:noFill/>
            </a:ln>
            <a:effectLst/>
          </c:spPr>
          <c:invertIfNegative val="0"/>
          <c:cat>
            <c:strRef>
              <c:f>'[Graphs.xlsx]5'!$A$39:$A$63</c:f>
              <c:strCache>
                <c:ptCount val="25"/>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pt idx="14">
                  <c:v>2016</c:v>
                </c:pt>
                <c:pt idx="15">
                  <c:v>2017</c:v>
                </c:pt>
                <c:pt idx="16">
                  <c:v>2018</c:v>
                </c:pt>
                <c:pt idx="17">
                  <c:v>2019</c:v>
                </c:pt>
                <c:pt idx="18">
                  <c:v>2020</c:v>
                </c:pt>
                <c:pt idx="19">
                  <c:v>2021</c:v>
                </c:pt>
                <c:pt idx="20">
                  <c:v>2022</c:v>
                </c:pt>
                <c:pt idx="21">
                  <c:v>2023e</c:v>
                </c:pt>
                <c:pt idx="22">
                  <c:v>2024p</c:v>
                </c:pt>
                <c:pt idx="23">
                  <c:v>2025p</c:v>
                </c:pt>
                <c:pt idx="24">
                  <c:v>2026p</c:v>
                </c:pt>
              </c:strCache>
            </c:strRef>
          </c:cat>
          <c:val>
            <c:numRef>
              <c:f>'[Graphs.xlsx]5'!$C$39:$C$63</c:f>
              <c:numCache>
                <c:formatCode>#,##0</c:formatCode>
                <c:ptCount val="25"/>
                <c:pt idx="0">
                  <c:v>17282.878744262613</c:v>
                </c:pt>
                <c:pt idx="1">
                  <c:v>20290.382210681375</c:v>
                </c:pt>
                <c:pt idx="2">
                  <c:v>23510.749665490821</c:v>
                </c:pt>
                <c:pt idx="3">
                  <c:v>21388.486316695355</c:v>
                </c:pt>
                <c:pt idx="4">
                  <c:v>30384.093959766233</c:v>
                </c:pt>
                <c:pt idx="5">
                  <c:v>30450.957746404503</c:v>
                </c:pt>
                <c:pt idx="6">
                  <c:v>22306.704549773869</c:v>
                </c:pt>
                <c:pt idx="7">
                  <c:v>18267.811817563019</c:v>
                </c:pt>
                <c:pt idx="8">
                  <c:v>12205.825232234572</c:v>
                </c:pt>
                <c:pt idx="9">
                  <c:v>9867.9394563125134</c:v>
                </c:pt>
                <c:pt idx="10">
                  <c:v>6640.1564219212869</c:v>
                </c:pt>
                <c:pt idx="11">
                  <c:v>5416.3531983246266</c:v>
                </c:pt>
                <c:pt idx="12">
                  <c:v>2456.9444070929358</c:v>
                </c:pt>
                <c:pt idx="13">
                  <c:v>1905.8543298106893</c:v>
                </c:pt>
                <c:pt idx="14">
                  <c:v>1363.5708773748618</c:v>
                </c:pt>
                <c:pt idx="15">
                  <c:v>888.52289855072456</c:v>
                </c:pt>
                <c:pt idx="16">
                  <c:v>1347.1186932706328</c:v>
                </c:pt>
                <c:pt idx="17">
                  <c:v>1889.9531033737026</c:v>
                </c:pt>
                <c:pt idx="18">
                  <c:v>1995.4292996686506</c:v>
                </c:pt>
                <c:pt idx="19">
                  <c:v>2519.6688038049342</c:v>
                </c:pt>
                <c:pt idx="20">
                  <c:v>3456.1226334541125</c:v>
                </c:pt>
                <c:pt idx="21">
                  <c:v>3862.8885438536954</c:v>
                </c:pt>
                <c:pt idx="22">
                  <c:v>4317.5284805570946</c:v>
                </c:pt>
                <c:pt idx="23">
                  <c:v>4825.6769432505989</c:v>
                </c:pt>
                <c:pt idx="24">
                  <c:v>5393.6315800783532</c:v>
                </c:pt>
              </c:numCache>
            </c:numRef>
          </c:val>
          <c:extLst>
            <c:ext xmlns:c16="http://schemas.microsoft.com/office/drawing/2014/chart" uri="{C3380CC4-5D6E-409C-BE32-E72D297353CC}">
              <c16:uniqueId val="{00000001-38F2-4EAB-BC56-4CAB943DB4A8}"/>
            </c:ext>
          </c:extLst>
        </c:ser>
        <c:dLbls>
          <c:showLegendKey val="0"/>
          <c:showVal val="0"/>
          <c:showCatName val="0"/>
          <c:showSerName val="0"/>
          <c:showPercent val="0"/>
          <c:showBubbleSize val="0"/>
        </c:dLbls>
        <c:gapWidth val="50"/>
        <c:overlap val="100"/>
        <c:axId val="31925632"/>
        <c:axId val="1354432415"/>
      </c:barChart>
      <c:lineChart>
        <c:grouping val="standard"/>
        <c:varyColors val="0"/>
        <c:ser>
          <c:idx val="2"/>
          <c:order val="2"/>
          <c:tx>
            <c:strRef>
              <c:f>'[Graphs.xlsx]5'!$D$38</c:f>
              <c:strCache>
                <c:ptCount val="1"/>
                <c:pt idx="0">
                  <c:v>Σύνολο</c:v>
                </c:pt>
              </c:strCache>
            </c:strRef>
          </c:tx>
          <c:spPr>
            <a:ln w="28575" cap="rnd">
              <a:noFill/>
              <a:round/>
            </a:ln>
            <a:effectLst/>
          </c:spPr>
          <c:marker>
            <c:symbol val="none"/>
          </c:marker>
          <c:dLbls>
            <c:spPr>
              <a:noFill/>
              <a:ln>
                <a:noFill/>
              </a:ln>
              <a:effectLst/>
            </c:spPr>
            <c:txPr>
              <a:bodyPr rot="-5400000" spcFirstLastPara="1" vertOverflow="ellipsis" wrap="square" anchor="ctr" anchorCtr="1"/>
              <a:lstStyle/>
              <a:p>
                <a:pPr>
                  <a:defRPr sz="800" b="0" i="0" u="none" strike="noStrike" kern="1200" baseline="0">
                    <a:solidFill>
                      <a:schemeClr val="tx1">
                        <a:lumMod val="75000"/>
                        <a:lumOff val="25000"/>
                      </a:schemeClr>
                    </a:solidFill>
                    <a:latin typeface="+mn-lt"/>
                    <a:ea typeface="+mn-ea"/>
                    <a:cs typeface="+mn-cs"/>
                  </a:defRPr>
                </a:pPr>
                <a:endParaRPr lang="el-GR"/>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'[Graphs.xlsx]5'!$A$39:$A$63</c:f>
              <c:strCache>
                <c:ptCount val="25"/>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pt idx="14">
                  <c:v>2016</c:v>
                </c:pt>
                <c:pt idx="15">
                  <c:v>2017</c:v>
                </c:pt>
                <c:pt idx="16">
                  <c:v>2018</c:v>
                </c:pt>
                <c:pt idx="17">
                  <c:v>2019</c:v>
                </c:pt>
                <c:pt idx="18">
                  <c:v>2020</c:v>
                </c:pt>
                <c:pt idx="19">
                  <c:v>2021</c:v>
                </c:pt>
                <c:pt idx="20">
                  <c:v>2022</c:v>
                </c:pt>
                <c:pt idx="21">
                  <c:v>2023e</c:v>
                </c:pt>
                <c:pt idx="22">
                  <c:v>2024p</c:v>
                </c:pt>
                <c:pt idx="23">
                  <c:v>2025p</c:v>
                </c:pt>
                <c:pt idx="24">
                  <c:v>2026p</c:v>
                </c:pt>
              </c:strCache>
            </c:strRef>
          </c:cat>
          <c:val>
            <c:numRef>
              <c:f>'[Graphs.xlsx]5'!$D$39:$D$63</c:f>
              <c:numCache>
                <c:formatCode>#,##0</c:formatCode>
                <c:ptCount val="25"/>
                <c:pt idx="0">
                  <c:v>28521.7</c:v>
                </c:pt>
                <c:pt idx="1">
                  <c:v>33359.300000000003</c:v>
                </c:pt>
                <c:pt idx="2">
                  <c:v>35992.9</c:v>
                </c:pt>
                <c:pt idx="3">
                  <c:v>30797.3</c:v>
                </c:pt>
                <c:pt idx="4">
                  <c:v>43009.2</c:v>
                </c:pt>
                <c:pt idx="5">
                  <c:v>41190.699999999997</c:v>
                </c:pt>
                <c:pt idx="6">
                  <c:v>34798.9</c:v>
                </c:pt>
                <c:pt idx="7">
                  <c:v>31780.3</c:v>
                </c:pt>
                <c:pt idx="8">
                  <c:v>22674</c:v>
                </c:pt>
                <c:pt idx="9">
                  <c:v>16777.3</c:v>
                </c:pt>
                <c:pt idx="10">
                  <c:v>14293.5</c:v>
                </c:pt>
                <c:pt idx="11">
                  <c:v>14982.6</c:v>
                </c:pt>
                <c:pt idx="12">
                  <c:v>11252.599999999999</c:v>
                </c:pt>
                <c:pt idx="13">
                  <c:v>11022</c:v>
                </c:pt>
                <c:pt idx="14">
                  <c:v>10305.4</c:v>
                </c:pt>
                <c:pt idx="15">
                  <c:v>6950.2</c:v>
                </c:pt>
                <c:pt idx="16">
                  <c:v>7656.2000000000007</c:v>
                </c:pt>
                <c:pt idx="17">
                  <c:v>8147.2999999999993</c:v>
                </c:pt>
                <c:pt idx="18">
                  <c:v>7451.8</c:v>
                </c:pt>
                <c:pt idx="19">
                  <c:v>8624.2999999999993</c:v>
                </c:pt>
                <c:pt idx="20">
                  <c:v>10304.200000000001</c:v>
                </c:pt>
                <c:pt idx="21">
                  <c:v>12790.700553611707</c:v>
                </c:pt>
                <c:pt idx="22">
                  <c:v>17174.066558315229</c:v>
                </c:pt>
                <c:pt idx="23">
                  <c:v>18040.041966110301</c:v>
                </c:pt>
                <c:pt idx="24">
                  <c:v>17138.345776627906</c:v>
                </c:pt>
              </c:numCache>
            </c:numRef>
          </c:val>
          <c:smooth val="0"/>
          <c:extLst>
            <c:ext xmlns:c16="http://schemas.microsoft.com/office/drawing/2014/chart" uri="{C3380CC4-5D6E-409C-BE32-E72D297353CC}">
              <c16:uniqueId val="{00000002-38F2-4EAB-BC56-4CAB943DB4A8}"/>
            </c:ext>
          </c:extLst>
        </c:ser>
        <c:dLbls>
          <c:showLegendKey val="0"/>
          <c:showVal val="0"/>
          <c:showCatName val="0"/>
          <c:showSerName val="0"/>
          <c:showPercent val="0"/>
          <c:showBubbleSize val="0"/>
        </c:dLbls>
        <c:marker val="1"/>
        <c:smooth val="0"/>
        <c:axId val="31925632"/>
        <c:axId val="1354432415"/>
      </c:lineChart>
      <c:catAx>
        <c:axId val="319256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l-GR"/>
          </a:p>
        </c:txPr>
        <c:crossAx val="1354432415"/>
        <c:crosses val="autoZero"/>
        <c:auto val="1"/>
        <c:lblAlgn val="ctr"/>
        <c:lblOffset val="100"/>
        <c:noMultiLvlLbl val="0"/>
      </c:catAx>
      <c:valAx>
        <c:axId val="1354432415"/>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lgn="ctr" rtl="0">
                  <a:defRPr sz="800" b="0" i="0" u="none" strike="noStrike" kern="1200" baseline="0">
                    <a:solidFill>
                      <a:schemeClr val="tx1">
                        <a:lumMod val="65000"/>
                        <a:lumOff val="35000"/>
                      </a:schemeClr>
                    </a:solidFill>
                    <a:latin typeface="+mn-lt"/>
                    <a:ea typeface="+mn-ea"/>
                    <a:cs typeface="+mn-cs"/>
                  </a:defRPr>
                </a:pPr>
                <a:r>
                  <a:rPr lang="el-GR"/>
                  <a:t>εκατ. ευρώ</a:t>
                </a:r>
              </a:p>
            </c:rich>
          </c:tx>
          <c:overlay val="0"/>
          <c:spPr>
            <a:noFill/>
            <a:ln>
              <a:noFill/>
            </a:ln>
            <a:effectLst/>
          </c:spPr>
          <c:txPr>
            <a:bodyPr rot="-5400000" spcFirstLastPara="1" vertOverflow="ellipsis" vert="horz" wrap="square" anchor="ctr" anchorCtr="1"/>
            <a:lstStyle/>
            <a:p>
              <a:pPr algn="ctr" rtl="0">
                <a:defRPr sz="800" b="0" i="0" u="none" strike="noStrike" kern="1200" baseline="0">
                  <a:solidFill>
                    <a:schemeClr val="tx1">
                      <a:lumMod val="65000"/>
                      <a:lumOff val="35000"/>
                    </a:schemeClr>
                  </a:solidFill>
                  <a:latin typeface="+mn-lt"/>
                  <a:ea typeface="+mn-ea"/>
                  <a:cs typeface="+mn-cs"/>
                </a:defRPr>
              </a:pPr>
              <a:endParaRPr lang="el-GR"/>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l-GR"/>
          </a:p>
        </c:txPr>
        <c:crossAx val="319256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l-G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800"/>
      </a:pPr>
      <a:endParaRPr lang="el-G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Trebuchet MS" panose="020B0603020202020204" pitchFamily="34" charset="0"/>
                    <a:ea typeface="+mn-ea"/>
                    <a:cs typeface="+mn-cs"/>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'[nama_10_a64__Basic Statistics.xlsx]projection'!$B$26:$B$29</c:f>
              <c:strCache>
                <c:ptCount val="4"/>
                <c:pt idx="0">
                  <c:v>2023e</c:v>
                </c:pt>
                <c:pt idx="1">
                  <c:v>2024p</c:v>
                </c:pt>
                <c:pt idx="2">
                  <c:v>2025p</c:v>
                </c:pt>
                <c:pt idx="3">
                  <c:v>2026p</c:v>
                </c:pt>
              </c:strCache>
            </c:strRef>
          </c:cat>
          <c:val>
            <c:numRef>
              <c:f>'[nama_10_a64__Basic Statistics.xlsx]projection'!$H$26:$H$29</c:f>
              <c:numCache>
                <c:formatCode>0</c:formatCode>
                <c:ptCount val="4"/>
                <c:pt idx="0">
                  <c:v>22.817605881101457</c:v>
                </c:pt>
                <c:pt idx="1">
                  <c:v>50.727748185785657</c:v>
                </c:pt>
                <c:pt idx="2">
                  <c:v>55.212832993670958</c:v>
                </c:pt>
                <c:pt idx="3">
                  <c:v>50.536616158009082</c:v>
                </c:pt>
              </c:numCache>
            </c:numRef>
          </c:val>
          <c:extLst>
            <c:ext xmlns:c16="http://schemas.microsoft.com/office/drawing/2014/chart" uri="{C3380CC4-5D6E-409C-BE32-E72D297353CC}">
              <c16:uniqueId val="{00000000-6DDE-4220-AECD-EFC4B1714C57}"/>
            </c:ext>
          </c:extLst>
        </c:ser>
        <c:dLbls>
          <c:showLegendKey val="0"/>
          <c:showVal val="0"/>
          <c:showCatName val="0"/>
          <c:showSerName val="0"/>
          <c:showPercent val="0"/>
          <c:showBubbleSize val="0"/>
        </c:dLbls>
        <c:gapWidth val="150"/>
        <c:overlap val="-27"/>
        <c:axId val="298442879"/>
        <c:axId val="98685823"/>
      </c:barChart>
      <c:catAx>
        <c:axId val="29844287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rebuchet MS" panose="020B0603020202020204" pitchFamily="34" charset="0"/>
                <a:ea typeface="+mn-ea"/>
                <a:cs typeface="+mn-cs"/>
              </a:defRPr>
            </a:pPr>
            <a:endParaRPr lang="el-GR"/>
          </a:p>
        </c:txPr>
        <c:crossAx val="98685823"/>
        <c:crosses val="autoZero"/>
        <c:auto val="1"/>
        <c:lblAlgn val="ctr"/>
        <c:lblOffset val="100"/>
        <c:noMultiLvlLbl val="0"/>
      </c:catAx>
      <c:valAx>
        <c:axId val="98685823"/>
        <c:scaling>
          <c:orientation val="minMax"/>
        </c:scaling>
        <c:delete val="0"/>
        <c:axPos val="l"/>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Trebuchet MS" panose="020B0603020202020204" pitchFamily="34" charset="0"/>
                    <a:ea typeface="+mn-ea"/>
                    <a:cs typeface="+mn-cs"/>
                  </a:defRPr>
                </a:pPr>
                <a:r>
                  <a:rPr lang="el-GR"/>
                  <a:t>χιλ. θέσεις εργασίας (Διαφορά σε σύγκριση με το 2022)</a:t>
                </a:r>
              </a:p>
            </c:rich>
          </c:tx>
          <c:overlay val="0"/>
          <c:spPr>
            <a:noFill/>
            <a:ln>
              <a:noFill/>
            </a:ln>
            <a:effectLst/>
          </c:spPr>
          <c:txPr>
            <a:bodyPr rot="-5400000" spcFirstLastPara="1" vertOverflow="ellipsis" vert="horz" wrap="square" anchor="ctr" anchorCtr="1"/>
            <a:lstStyle/>
            <a:p>
              <a:pPr>
                <a:defRPr sz="800" b="0" i="0" u="none" strike="noStrike" kern="1200" baseline="0">
                  <a:solidFill>
                    <a:schemeClr val="tx1">
                      <a:lumMod val="65000"/>
                      <a:lumOff val="35000"/>
                    </a:schemeClr>
                  </a:solidFill>
                  <a:latin typeface="Trebuchet MS" panose="020B0603020202020204" pitchFamily="34" charset="0"/>
                  <a:ea typeface="+mn-ea"/>
                  <a:cs typeface="+mn-cs"/>
                </a:defRPr>
              </a:pPr>
              <a:endParaRPr lang="el-GR"/>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rebuchet MS" panose="020B0603020202020204" pitchFamily="34" charset="0"/>
                <a:ea typeface="+mn-ea"/>
                <a:cs typeface="+mn-cs"/>
              </a:defRPr>
            </a:pPr>
            <a:endParaRPr lang="el-GR"/>
          </a:p>
        </c:txPr>
        <c:crossAx val="29844287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800">
          <a:latin typeface="Trebuchet MS" panose="020B0603020202020204" pitchFamily="34" charset="0"/>
        </a:defRPr>
      </a:pPr>
      <a:endParaRPr lang="el-G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327B4B93DFBD34CADF6B8F0F698302B" ma:contentTypeVersion="4" ma:contentTypeDescription="Create a new document." ma:contentTypeScope="" ma:versionID="04c167cc3e7b3d75c2fb5e51512bf898">
  <xsd:schema xmlns:xsd="http://www.w3.org/2001/XMLSchema" xmlns:xs="http://www.w3.org/2001/XMLSchema" xmlns:p="http://schemas.microsoft.com/office/2006/metadata/properties" xmlns:ns3="5c5d465e-8636-426d-bc8e-afbe65628f35" targetNamespace="http://schemas.microsoft.com/office/2006/metadata/properties" ma:root="true" ma:fieldsID="399742515a3c4bd4a20cb620c43d5158" ns3:_="">
    <xsd:import namespace="5c5d465e-8636-426d-bc8e-afbe65628f3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5d465e-8636-426d-bc8e-afbe65628f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4998D2-E3CD-43D7-BCAD-223227A36C99}">
  <ds:schemaRefs>
    <ds:schemaRef ds:uri="http://schemas.microsoft.com/sharepoint/v3/contenttype/forms"/>
  </ds:schemaRefs>
</ds:datastoreItem>
</file>

<file path=customXml/itemProps2.xml><?xml version="1.0" encoding="utf-8"?>
<ds:datastoreItem xmlns:ds="http://schemas.openxmlformats.org/officeDocument/2006/customXml" ds:itemID="{D8E537BA-E22A-47C5-AFD3-5C015CA812EF}">
  <ds:schemaRefs>
    <ds:schemaRef ds:uri="http://schemas.openxmlformats.org/officeDocument/2006/bibliography"/>
  </ds:schemaRefs>
</ds:datastoreItem>
</file>

<file path=customXml/itemProps3.xml><?xml version="1.0" encoding="utf-8"?>
<ds:datastoreItem xmlns:ds="http://schemas.openxmlformats.org/officeDocument/2006/customXml" ds:itemID="{7121648A-937C-4948-8575-71371D796F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5d465e-8636-426d-bc8e-afbe65628f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A9A3BE-95B5-4860-93A3-78B13D18596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1664</Words>
  <Characters>8990</Characters>
  <Application>Microsoft Office Word</Application>
  <DocSecurity>0</DocSecurity>
  <Lines>74</Lines>
  <Paragraphs>21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10633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Elisavet Kotsaki</cp:lastModifiedBy>
  <cp:revision>4</cp:revision>
  <dcterms:created xsi:type="dcterms:W3CDTF">2024-03-27T10:39:00Z</dcterms:created>
  <dcterms:modified xsi:type="dcterms:W3CDTF">2024-03-27T12:49:00Z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0x0101003327B4B93DFBD34CADF6B8F0F698302B</vt:lpwstr>
  </property>
</Properties>
</file>