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B6500" w14:textId="68988821" w:rsidR="00F63FFB" w:rsidRPr="00ED32D0" w:rsidRDefault="007E618D" w:rsidP="00F63FFB">
      <w:pPr>
        <w:spacing w:line="240" w:lineRule="auto"/>
        <w:ind w:firstLine="720"/>
        <w:rPr>
          <w:rFonts w:cs="Arial"/>
          <w:noProof/>
          <w:sz w:val="96"/>
        </w:rPr>
      </w:pPr>
      <w:r>
        <w:rPr>
          <w:rFonts w:cs="Arial"/>
          <w:noProof/>
          <w:lang w:val="en-US"/>
        </w:rPr>
        <mc:AlternateContent>
          <mc:Choice Requires="wps">
            <w:drawing>
              <wp:anchor distT="0" distB="0" distL="114300" distR="114300" simplePos="0" relativeHeight="251658240" behindDoc="1" locked="0" layoutInCell="0" allowOverlap="1" wp14:anchorId="62AE6B4D" wp14:editId="422034DB">
                <wp:simplePos x="0" y="0"/>
                <wp:positionH relativeFrom="column">
                  <wp:posOffset>-46990</wp:posOffset>
                </wp:positionH>
                <wp:positionV relativeFrom="paragraph">
                  <wp:posOffset>270510</wp:posOffset>
                </wp:positionV>
                <wp:extent cx="6210300" cy="366395"/>
                <wp:effectExtent l="0" t="0" r="0" b="0"/>
                <wp:wrapNone/>
                <wp:docPr id="19506308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366395"/>
                        </a:xfrm>
                        <a:prstGeom prst="rect">
                          <a:avLst/>
                        </a:prstGeom>
                        <a:solidFill>
                          <a:srgbClr val="DFDFDF"/>
                        </a:solidFill>
                        <a:ln w="9525">
                          <a:solidFill>
                            <a:srgbClr val="FFFFFF"/>
                          </a:solidFill>
                          <a:miter lim="800000"/>
                          <a:headEnd/>
                          <a:tailEnd/>
                        </a:ln>
                        <a:effectLst/>
                      </wps:spPr>
                      <wps:txbx>
                        <w:txbxContent>
                          <w:p w14:paraId="59A25CC7" w14:textId="77777777" w:rsidR="00F63FFB" w:rsidRPr="00AC1B7A" w:rsidRDefault="00F63FFB" w:rsidP="00F63FFB">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6B4D" id="Rectangle 1" o:spid="_x0000_s1026" style="position:absolute;left:0;text-align:left;margin-left:-3.7pt;margin-top:21.3pt;width:489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" o:allowincell="f" fillcolor="#dfdfdf" strokecolor="white">
                <v:textbox inset="1pt,1pt,1pt,1pt">
                  <w:txbxContent>
                    <w:p w14:paraId="59A25CC7" w14:textId="77777777" w:rsidR="00F63FFB" w:rsidRPr="00AC1B7A" w:rsidRDefault="00F63FFB" w:rsidP="00F63FFB">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v:textbox>
              </v:rect>
            </w:pict>
          </mc:Fallback>
        </mc:AlternateContent>
      </w:r>
      <w:r w:rsidR="00F63FFB" w:rsidRPr="00ED32D0">
        <w:rPr>
          <w:rFonts w:cs="Arial"/>
          <w:b/>
          <w:bCs/>
          <w:sz w:val="96"/>
          <w:szCs w:val="72"/>
        </w:rPr>
        <w:t>TEE</w:t>
      </w:r>
      <w:r w:rsidR="00F63FFB" w:rsidRPr="00ED32D0">
        <w:rPr>
          <w:rFonts w:cs="Arial"/>
          <w:noProof/>
          <w:sz w:val="96"/>
        </w:rPr>
        <w:tab/>
      </w:r>
    </w:p>
    <w:p w14:paraId="00DE677A" w14:textId="77777777" w:rsidR="00F63FFB" w:rsidRPr="00ED32D0" w:rsidRDefault="00F63FFB" w:rsidP="00F63FFB">
      <w:pPr>
        <w:spacing w:line="240" w:lineRule="auto"/>
        <w:ind w:firstLine="720"/>
        <w:rPr>
          <w:rFonts w:cs="Arial"/>
          <w:b/>
          <w:sz w:val="16"/>
        </w:rPr>
      </w:pPr>
      <w:r>
        <w:rPr>
          <w:noProof/>
          <w:lang w:eastAsia="el-GR"/>
        </w:rPr>
        <w:drawing>
          <wp:anchor distT="0" distB="0" distL="114300" distR="114300" simplePos="0" relativeHeight="251657216" behindDoc="0" locked="0" layoutInCell="1" allowOverlap="1" wp14:anchorId="585756AB" wp14:editId="29A4CBF8">
            <wp:simplePos x="0" y="0"/>
            <wp:positionH relativeFrom="column">
              <wp:posOffset>27305</wp:posOffset>
            </wp:positionH>
            <wp:positionV relativeFrom="paragraph">
              <wp:posOffset>130810</wp:posOffset>
            </wp:positionV>
            <wp:extent cx="3048000" cy="946150"/>
            <wp:effectExtent l="0" t="0" r="0" b="0"/>
            <wp:wrapNone/>
            <wp:docPr id="1090418945" name="Picture 1" descr="LOGO H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LOGO HOR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946150"/>
                    </a:xfrm>
                    <a:prstGeom prst="rect">
                      <a:avLst/>
                    </a:prstGeom>
                    <a:noFill/>
                    <a:ln>
                      <a:noFill/>
                    </a:ln>
                  </pic:spPr>
                </pic:pic>
              </a:graphicData>
            </a:graphic>
          </wp:anchor>
        </w:drawing>
      </w:r>
      <w:r w:rsidRPr="00ED32D0">
        <w:rPr>
          <w:rFonts w:cs="Arial"/>
          <w:b/>
          <w:sz w:val="16"/>
        </w:rPr>
        <w:t>ΤΕΧΝΙΚΟ ΕΠΙΜΕΛΗΤΗΡΙΟ ΕΛΛΑΔΑΣ</w:t>
      </w:r>
    </w:p>
    <w:p w14:paraId="6F3468D1" w14:textId="77777777" w:rsidR="00F63FFB" w:rsidRPr="000F6003" w:rsidRDefault="00F63FFB" w:rsidP="000F6003">
      <w:pPr>
        <w:spacing w:after="0" w:line="240" w:lineRule="auto"/>
        <w:jc w:val="both"/>
        <w:rPr>
          <w:rFonts w:cs="Arial"/>
          <w:sz w:val="24"/>
          <w:szCs w:val="24"/>
        </w:rPr>
      </w:pPr>
    </w:p>
    <w:p w14:paraId="48A60E4A" w14:textId="77777777" w:rsidR="00F63FFB" w:rsidRPr="000F6003" w:rsidRDefault="00F63FFB" w:rsidP="000F6003">
      <w:pPr>
        <w:spacing w:after="0" w:line="240" w:lineRule="auto"/>
        <w:jc w:val="right"/>
        <w:rPr>
          <w:rFonts w:cs="Arial"/>
          <w:b/>
          <w:sz w:val="24"/>
          <w:szCs w:val="24"/>
        </w:rPr>
      </w:pPr>
    </w:p>
    <w:p w14:paraId="257F15B6" w14:textId="17609E88" w:rsidR="00F63FFB" w:rsidRPr="000F6003" w:rsidRDefault="003C0C34" w:rsidP="000F6003">
      <w:pPr>
        <w:spacing w:after="0" w:line="240" w:lineRule="auto"/>
        <w:jc w:val="right"/>
        <w:rPr>
          <w:rFonts w:cs="Arial"/>
          <w:b/>
          <w:sz w:val="24"/>
          <w:szCs w:val="24"/>
        </w:rPr>
      </w:pPr>
      <w:r>
        <w:rPr>
          <w:rFonts w:cs="Arial"/>
          <w:b/>
          <w:sz w:val="24"/>
          <w:szCs w:val="24"/>
        </w:rPr>
        <w:t xml:space="preserve">12 Δεκεμβρίου </w:t>
      </w:r>
      <w:r w:rsidR="00F63FFB" w:rsidRPr="000F6003">
        <w:rPr>
          <w:rFonts w:cs="Arial"/>
          <w:b/>
          <w:sz w:val="24"/>
          <w:szCs w:val="24"/>
        </w:rPr>
        <w:t>2024</w:t>
      </w:r>
    </w:p>
    <w:p w14:paraId="17709F04" w14:textId="77777777" w:rsidR="00F63FFB" w:rsidRPr="000F6003" w:rsidRDefault="00F63FFB" w:rsidP="000F6003">
      <w:pPr>
        <w:spacing w:after="0" w:line="240" w:lineRule="auto"/>
        <w:jc w:val="center"/>
        <w:rPr>
          <w:rFonts w:cs="Arial"/>
          <w:sz w:val="24"/>
          <w:szCs w:val="24"/>
        </w:rPr>
      </w:pPr>
    </w:p>
    <w:p w14:paraId="56912342" w14:textId="77777777" w:rsidR="00F63FFB" w:rsidRPr="00FA386C" w:rsidRDefault="00F63FFB" w:rsidP="00E36973">
      <w:pPr>
        <w:spacing w:after="0" w:line="240" w:lineRule="auto"/>
        <w:jc w:val="center"/>
        <w:rPr>
          <w:rFonts w:cs="Arial"/>
          <w:sz w:val="24"/>
          <w:szCs w:val="24"/>
        </w:rPr>
      </w:pPr>
    </w:p>
    <w:p w14:paraId="551E3D54" w14:textId="1CE6181B" w:rsidR="001C7E7A" w:rsidRPr="003C0C34" w:rsidRDefault="00DD68B3" w:rsidP="003C0C34">
      <w:pPr>
        <w:spacing w:after="0" w:line="240" w:lineRule="auto"/>
        <w:jc w:val="both"/>
        <w:rPr>
          <w:rFonts w:cs="Arial"/>
          <w:b/>
          <w:sz w:val="24"/>
          <w:szCs w:val="24"/>
        </w:rPr>
      </w:pPr>
      <w:r>
        <w:rPr>
          <w:rFonts w:cs="Arial"/>
          <w:b/>
          <w:sz w:val="24"/>
          <w:szCs w:val="24"/>
        </w:rPr>
        <w:t>Ο</w:t>
      </w:r>
      <w:r w:rsidR="003C0C34">
        <w:rPr>
          <w:rFonts w:cs="Arial"/>
          <w:b/>
          <w:sz w:val="24"/>
          <w:szCs w:val="24"/>
        </w:rPr>
        <w:t xml:space="preserve">ι αποφάσεις της δικαιοσύνης γίνονται σεβαστές, αλλά η ασφάλεια δικαίου παραμένει ζητούμενο - </w:t>
      </w:r>
      <w:r w:rsidR="003C0C34" w:rsidRPr="003C0C34">
        <w:rPr>
          <w:rFonts w:cs="Arial"/>
          <w:b/>
          <w:sz w:val="24"/>
          <w:szCs w:val="24"/>
        </w:rPr>
        <w:t xml:space="preserve">επί της ουσίας τα κίνητρα </w:t>
      </w:r>
      <w:r w:rsidR="003C0C34">
        <w:rPr>
          <w:rFonts w:cs="Arial"/>
          <w:b/>
          <w:sz w:val="24"/>
          <w:szCs w:val="24"/>
        </w:rPr>
        <w:t xml:space="preserve">του ΝΟΚ </w:t>
      </w:r>
      <w:r w:rsidR="003C0C34" w:rsidRPr="003C0C34">
        <w:rPr>
          <w:rFonts w:cs="Arial"/>
          <w:b/>
          <w:sz w:val="24"/>
          <w:szCs w:val="24"/>
        </w:rPr>
        <w:t xml:space="preserve">χρειάζονται </w:t>
      </w:r>
      <w:r w:rsidR="003C0C34">
        <w:rPr>
          <w:rFonts w:cs="Arial"/>
          <w:b/>
          <w:sz w:val="24"/>
          <w:szCs w:val="24"/>
        </w:rPr>
        <w:t xml:space="preserve">- να αναμένουμε όλοι </w:t>
      </w:r>
      <w:r w:rsidR="003C0C34" w:rsidRPr="003C0C34">
        <w:rPr>
          <w:rFonts w:cs="Arial"/>
          <w:b/>
          <w:sz w:val="24"/>
          <w:szCs w:val="24"/>
        </w:rPr>
        <w:t xml:space="preserve">το πλήρες κείμενο της απόφασης του </w:t>
      </w:r>
      <w:proofErr w:type="spellStart"/>
      <w:r w:rsidR="003C0C34" w:rsidRPr="003C0C34">
        <w:rPr>
          <w:rFonts w:cs="Arial"/>
          <w:b/>
          <w:sz w:val="24"/>
          <w:szCs w:val="24"/>
        </w:rPr>
        <w:t>ΣτΕ</w:t>
      </w:r>
      <w:proofErr w:type="spellEnd"/>
      <w:r w:rsidR="003C0C34" w:rsidRPr="003C0C34">
        <w:rPr>
          <w:rFonts w:cs="Arial"/>
          <w:b/>
          <w:sz w:val="24"/>
          <w:szCs w:val="24"/>
        </w:rPr>
        <w:t xml:space="preserve"> </w:t>
      </w:r>
    </w:p>
    <w:p w14:paraId="04239D41" w14:textId="77777777" w:rsidR="001C7E7A" w:rsidRDefault="001C7E7A" w:rsidP="003C0C34">
      <w:pPr>
        <w:spacing w:after="0" w:line="240" w:lineRule="auto"/>
        <w:jc w:val="both"/>
        <w:rPr>
          <w:rFonts w:cs="Arial"/>
          <w:sz w:val="24"/>
          <w:szCs w:val="24"/>
        </w:rPr>
      </w:pPr>
    </w:p>
    <w:p w14:paraId="68B0B19B" w14:textId="2AD6E355" w:rsidR="00DD68B3" w:rsidRDefault="00DD68B3" w:rsidP="003C0C34">
      <w:pPr>
        <w:spacing w:after="0" w:line="240" w:lineRule="auto"/>
        <w:jc w:val="both"/>
        <w:rPr>
          <w:rFonts w:cs="Arial"/>
          <w:sz w:val="24"/>
          <w:szCs w:val="24"/>
        </w:rPr>
      </w:pPr>
      <w:r>
        <w:rPr>
          <w:rFonts w:cs="Arial"/>
          <w:sz w:val="24"/>
          <w:szCs w:val="24"/>
        </w:rPr>
        <w:t>Με αφορμή την ανακοίνωση του Συμβουλίου της Επικρατείας σχετικά με την υπό έκδοση απόφαση για την υπόθεση των κινήτρων του Νέου Οικοδομικού κανονισμού, ο Πρόεδρος του ΤΕΕ Γιώργος Στασινός έκανε την ακόλουθη δήλωση:</w:t>
      </w:r>
    </w:p>
    <w:p w14:paraId="4FE567C0" w14:textId="77777777" w:rsidR="00DD68B3" w:rsidRDefault="00DD68B3" w:rsidP="003C0C34">
      <w:pPr>
        <w:spacing w:after="0" w:line="240" w:lineRule="auto"/>
        <w:jc w:val="both"/>
        <w:rPr>
          <w:rFonts w:eastAsiaTheme="minorHAnsi" w:cs="Arial"/>
          <w:kern w:val="2"/>
          <w:sz w:val="24"/>
          <w:szCs w:val="24"/>
          <w14:ligatures w14:val="standardContextual"/>
        </w:rPr>
      </w:pPr>
    </w:p>
    <w:p w14:paraId="7479CB8F" w14:textId="42379089" w:rsid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Σε μια δημοκρατία οι αποφάσεις της δικαιοσύνης γίνονται σεβαστές και πρέπει να εφαρμόζονται. Αυτό δεν τις κάνει </w:t>
      </w:r>
      <w:proofErr w:type="spellStart"/>
      <w:r w:rsidRPr="003C0C34">
        <w:rPr>
          <w:rFonts w:eastAsiaTheme="minorHAnsi" w:cs="Arial"/>
          <w:kern w:val="2"/>
          <w:sz w:val="24"/>
          <w:szCs w:val="24"/>
          <w:lang w:val="en-US"/>
          <w14:ligatures w14:val="standardContextual"/>
        </w:rPr>
        <w:t>apriori</w:t>
      </w:r>
      <w:proofErr w:type="spellEnd"/>
      <w:r w:rsidRPr="003C0C34">
        <w:rPr>
          <w:rFonts w:eastAsiaTheme="minorHAnsi" w:cs="Arial"/>
          <w:kern w:val="2"/>
          <w:sz w:val="24"/>
          <w:szCs w:val="24"/>
          <w14:ligatures w14:val="standardContextual"/>
        </w:rPr>
        <w:t xml:space="preserve"> σωστές, αλλά αυτή είναι η δημοκρατική επιλογή.</w:t>
      </w:r>
    </w:p>
    <w:p w14:paraId="76C06E55" w14:textId="77777777" w:rsidR="003C0C34" w:rsidRPr="003C0C34" w:rsidRDefault="003C0C34" w:rsidP="003C0C34">
      <w:pPr>
        <w:spacing w:after="0" w:line="240" w:lineRule="auto"/>
        <w:jc w:val="both"/>
        <w:rPr>
          <w:rFonts w:eastAsiaTheme="minorHAnsi" w:cs="Arial"/>
          <w:kern w:val="2"/>
          <w:sz w:val="24"/>
          <w:szCs w:val="24"/>
          <w14:ligatures w14:val="standardContextual"/>
        </w:rPr>
      </w:pPr>
    </w:p>
    <w:p w14:paraId="7F832D26" w14:textId="0211F06E"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Ωστόσο δεν τιμά τους θεσμούς της δημοκρατίας μας η κατάργηση σημαντικών διατάξεων, σχεδόν το σύνολο </w:t>
      </w:r>
      <w:r w:rsidR="00640EEF">
        <w:rPr>
          <w:rFonts w:eastAsiaTheme="minorHAnsi" w:cs="Arial"/>
          <w:kern w:val="2"/>
          <w:sz w:val="24"/>
          <w:szCs w:val="24"/>
          <w14:ligatures w14:val="standardContextual"/>
        </w:rPr>
        <w:t xml:space="preserve">των κινήτρων </w:t>
      </w:r>
      <w:r w:rsidRPr="003C0C34">
        <w:rPr>
          <w:rFonts w:eastAsiaTheme="minorHAnsi" w:cs="Arial"/>
          <w:kern w:val="2"/>
          <w:sz w:val="24"/>
          <w:szCs w:val="24"/>
          <w14:ligatures w14:val="standardContextual"/>
        </w:rPr>
        <w:t>του οικοδομικού κανονισμού, που αφορούν σχεδόν σε όλους τους πολίτες της χώρας</w:t>
      </w:r>
      <w:r w:rsidRPr="003C0C34">
        <w:rPr>
          <w:rFonts w:eastAsiaTheme="minorHAnsi" w:cs="Arial"/>
          <w:kern w:val="2"/>
          <w:sz w:val="24"/>
          <w:szCs w:val="24"/>
          <w:lang w:val="en-US"/>
          <w14:ligatures w14:val="standardContextual"/>
        </w:rPr>
        <w:t> </w:t>
      </w:r>
      <w:r w:rsidRPr="003C0C34">
        <w:rPr>
          <w:rFonts w:eastAsiaTheme="minorHAnsi" w:cs="Arial"/>
          <w:kern w:val="2"/>
          <w:sz w:val="24"/>
          <w:szCs w:val="24"/>
          <w14:ligatures w14:val="standardContextual"/>
        </w:rPr>
        <w:t xml:space="preserve"> με δελτίο τύπου από Ανώτατο Δικαστήριο και όχι με την Απόφαση του και το σκεπτικό της.</w:t>
      </w:r>
    </w:p>
    <w:p w14:paraId="2625B9FB" w14:textId="77777777" w:rsidR="003C0C34" w:rsidRDefault="003C0C34" w:rsidP="003C0C34">
      <w:pPr>
        <w:spacing w:after="0" w:line="240" w:lineRule="auto"/>
        <w:jc w:val="both"/>
        <w:rPr>
          <w:rFonts w:eastAsiaTheme="minorHAnsi" w:cs="Arial"/>
          <w:kern w:val="2"/>
          <w:sz w:val="24"/>
          <w:szCs w:val="24"/>
          <w14:ligatures w14:val="standardContextual"/>
        </w:rPr>
      </w:pPr>
    </w:p>
    <w:p w14:paraId="666802EA" w14:textId="467C921B"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Η ανακοίνωση του Προέδρου του </w:t>
      </w:r>
      <w:proofErr w:type="spellStart"/>
      <w:r w:rsidRPr="003C0C34">
        <w:rPr>
          <w:rFonts w:eastAsiaTheme="minorHAnsi" w:cs="Arial"/>
          <w:kern w:val="2"/>
          <w:sz w:val="24"/>
          <w:szCs w:val="24"/>
          <w14:ligatures w14:val="standardContextual"/>
        </w:rPr>
        <w:t>ΣτΕ</w:t>
      </w:r>
      <w:proofErr w:type="spellEnd"/>
      <w:r w:rsidRPr="003C0C34">
        <w:rPr>
          <w:rFonts w:eastAsiaTheme="minorHAnsi" w:cs="Arial"/>
          <w:kern w:val="2"/>
          <w:sz w:val="24"/>
          <w:szCs w:val="24"/>
          <w14:ligatures w14:val="standardContextual"/>
        </w:rPr>
        <w:t xml:space="preserve"> αναφέρεται συνοπτικά τόσο σε θέματα συνταγματικότητας όσο και αντισυνταγματικότητας διατάξεων του ΝΟΚ. Το </w:t>
      </w:r>
      <w:proofErr w:type="spellStart"/>
      <w:r w:rsidRPr="003C0C34">
        <w:rPr>
          <w:rFonts w:eastAsiaTheme="minorHAnsi" w:cs="Arial"/>
          <w:kern w:val="2"/>
          <w:sz w:val="24"/>
          <w:szCs w:val="24"/>
          <w14:ligatures w14:val="standardContextual"/>
        </w:rPr>
        <w:t>ΣτΕ</w:t>
      </w:r>
      <w:proofErr w:type="spellEnd"/>
      <w:r w:rsidRPr="003C0C34">
        <w:rPr>
          <w:rFonts w:eastAsiaTheme="minorHAnsi" w:cs="Arial"/>
          <w:kern w:val="2"/>
          <w:sz w:val="24"/>
          <w:szCs w:val="24"/>
          <w14:ligatures w14:val="standardContextual"/>
        </w:rPr>
        <w:t>, όπως αναφέρει η ανακοίνωση, δεν κρίνει το περιεχόμενο των διατάξεων των κινήτρων του ΝΟΚ επί της ουσίας τους αλλά επί της διαδικασίας που αυτά εφαρμόζονται. Και η ουσία, υποστ</w:t>
      </w:r>
      <w:r w:rsidR="00DD68B3">
        <w:rPr>
          <w:rFonts w:eastAsiaTheme="minorHAnsi" w:cs="Arial"/>
          <w:kern w:val="2"/>
          <w:sz w:val="24"/>
          <w:szCs w:val="24"/>
          <w14:ligatures w14:val="standardContextual"/>
        </w:rPr>
        <w:t>ηρίξαμε</w:t>
      </w:r>
      <w:r w:rsidRPr="003C0C34">
        <w:rPr>
          <w:rFonts w:eastAsiaTheme="minorHAnsi" w:cs="Arial"/>
          <w:kern w:val="2"/>
          <w:sz w:val="24"/>
          <w:szCs w:val="24"/>
          <w14:ligatures w14:val="standardContextual"/>
        </w:rPr>
        <w:t xml:space="preserve"> και συνεχίζουμε να υποστηρίζουμε στο ΤΕΕ, είναι επιστημονικά σωστή, σύγχρονη και αναγκαία.</w:t>
      </w:r>
    </w:p>
    <w:p w14:paraId="4B7A33CB" w14:textId="77777777" w:rsidR="003C0C34" w:rsidRDefault="003C0C34" w:rsidP="003C0C34">
      <w:pPr>
        <w:spacing w:after="0" w:line="240" w:lineRule="auto"/>
        <w:jc w:val="both"/>
        <w:rPr>
          <w:rFonts w:eastAsiaTheme="minorHAnsi" w:cs="Arial"/>
          <w:kern w:val="2"/>
          <w:sz w:val="24"/>
          <w:szCs w:val="24"/>
          <w14:ligatures w14:val="standardContextual"/>
        </w:rPr>
      </w:pPr>
    </w:p>
    <w:p w14:paraId="3F44AB71" w14:textId="54410DF1"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Ως </w:t>
      </w:r>
      <w:r>
        <w:rPr>
          <w:rFonts w:eastAsiaTheme="minorHAnsi" w:cs="Arial"/>
          <w:kern w:val="2"/>
          <w:sz w:val="24"/>
          <w:szCs w:val="24"/>
          <w14:ligatures w14:val="standardContextual"/>
        </w:rPr>
        <w:t>θεσμοθετημένος τεχνικός σύμβουλος της Πολιτείας</w:t>
      </w:r>
      <w:r w:rsidRPr="003C0C34">
        <w:rPr>
          <w:rFonts w:eastAsiaTheme="minorHAnsi" w:cs="Arial"/>
          <w:kern w:val="2"/>
          <w:sz w:val="24"/>
          <w:szCs w:val="24"/>
          <w14:ligatures w14:val="standardContextual"/>
        </w:rPr>
        <w:t xml:space="preserve"> εξηγήσαμε στην κοινωνία και τη δικαιοσύνη τους πραγματικούς, ουσιαστικούς, επιστημονικούς και τεκμηριωμένους λόγους που τα κίνητρα του ΝΟΚ είναι απαραίτητα για να βελτιωθεί η ζωή και να προστατευθεί η περιουσία των πολιτών, με παράλληλη προστασία του περιβάλλοντος και αντιμετώπιση των συνεπειών της κλιματικής κρίσης.</w:t>
      </w:r>
    </w:p>
    <w:p w14:paraId="70B1E5A2" w14:textId="77777777" w:rsidR="003C0C34" w:rsidRDefault="003C0C34" w:rsidP="003C0C34">
      <w:pPr>
        <w:spacing w:after="0" w:line="240" w:lineRule="auto"/>
        <w:jc w:val="both"/>
        <w:rPr>
          <w:rFonts w:eastAsiaTheme="minorHAnsi" w:cs="Arial"/>
          <w:kern w:val="2"/>
          <w:sz w:val="24"/>
          <w:szCs w:val="24"/>
          <w14:ligatures w14:val="standardContextual"/>
        </w:rPr>
      </w:pPr>
    </w:p>
    <w:p w14:paraId="4871DF1F" w14:textId="57D35A47"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Πρακτικά, η</w:t>
      </w:r>
      <w:r w:rsidRPr="003C0C34">
        <w:rPr>
          <w:rFonts w:eastAsiaTheme="minorHAnsi" w:cs="Arial"/>
          <w:kern w:val="2"/>
          <w:sz w:val="24"/>
          <w:szCs w:val="24"/>
          <w:lang w:val="en-US"/>
          <w14:ligatures w14:val="standardContextual"/>
        </w:rPr>
        <w:t> </w:t>
      </w:r>
      <w:r w:rsidRPr="003C0C34">
        <w:rPr>
          <w:rFonts w:eastAsiaTheme="minorHAnsi" w:cs="Arial"/>
          <w:kern w:val="2"/>
          <w:sz w:val="24"/>
          <w:szCs w:val="24"/>
          <w14:ligatures w14:val="standardContextual"/>
        </w:rPr>
        <w:t xml:space="preserve">ανακοίνωση του </w:t>
      </w:r>
      <w:proofErr w:type="spellStart"/>
      <w:r w:rsidRPr="003C0C34">
        <w:rPr>
          <w:rFonts w:eastAsiaTheme="minorHAnsi" w:cs="Arial"/>
          <w:kern w:val="2"/>
          <w:sz w:val="24"/>
          <w:szCs w:val="24"/>
          <w14:ligatures w14:val="standardContextual"/>
        </w:rPr>
        <w:t>Σ</w:t>
      </w:r>
      <w:r>
        <w:rPr>
          <w:rFonts w:eastAsiaTheme="minorHAnsi" w:cs="Arial"/>
          <w:kern w:val="2"/>
          <w:sz w:val="24"/>
          <w:szCs w:val="24"/>
          <w14:ligatures w14:val="standardContextual"/>
        </w:rPr>
        <w:t>τ</w:t>
      </w:r>
      <w:r w:rsidRPr="003C0C34">
        <w:rPr>
          <w:rFonts w:eastAsiaTheme="minorHAnsi" w:cs="Arial"/>
          <w:kern w:val="2"/>
          <w:sz w:val="24"/>
          <w:szCs w:val="24"/>
          <w14:ligatures w14:val="standardContextual"/>
        </w:rPr>
        <w:t>Ε</w:t>
      </w:r>
      <w:proofErr w:type="spellEnd"/>
      <w:r w:rsidRPr="003C0C34">
        <w:rPr>
          <w:rFonts w:eastAsiaTheme="minorHAnsi" w:cs="Arial"/>
          <w:kern w:val="2"/>
          <w:sz w:val="24"/>
          <w:szCs w:val="24"/>
          <w14:ligatures w14:val="standardContextual"/>
        </w:rPr>
        <w:t xml:space="preserve"> αναφέρεται μεν σε αντισυνταγματικότητα του συστήματος ορισμένων διατάξεων του ΝΟΚ περί κινήτρων, αλλά σημειώνει ότι αντίκεινται στο Σύνταγμα, </w:t>
      </w:r>
      <w:r w:rsidRPr="003C0C34">
        <w:rPr>
          <w:rFonts w:eastAsiaTheme="minorHAnsi" w:cs="Arial"/>
          <w:b/>
          <w:bCs/>
          <w:kern w:val="2"/>
          <w:sz w:val="24"/>
          <w:szCs w:val="24"/>
          <w:u w:val="single"/>
          <w14:ligatures w14:val="standardContextual"/>
        </w:rPr>
        <w:t xml:space="preserve">όχι, κατ’ αρχήν, εξαιτίας του περιεχομένου τους, </w:t>
      </w:r>
      <w:r w:rsidRPr="003C0C34">
        <w:rPr>
          <w:rFonts w:eastAsiaTheme="minorHAnsi" w:cs="Arial"/>
          <w:kern w:val="2"/>
          <w:sz w:val="24"/>
          <w:szCs w:val="24"/>
          <w14:ligatures w14:val="standardContextual"/>
        </w:rPr>
        <w:t xml:space="preserve">αλλά για τον λόγο ότι παρέχεται με τις διατάξεις αυτές, απ’ ευθείας στις υπηρεσίες δόμησης, η δυνατότητα να εκδίδουν οικοδομικές άδειες, κατ’ απόκλιση, και μάλιστα ουσιώδη, από τους ισχύοντες κατά το πολεοδομικό καθεστώς κάθε περιοχής όρους δόμησης. Δε θα μπορούσε προφανώς κανείς να αρνηθεί ότι </w:t>
      </w:r>
      <w:r w:rsidRPr="003C0C34">
        <w:rPr>
          <w:rFonts w:eastAsiaTheme="minorHAnsi" w:cs="Arial"/>
          <w:b/>
          <w:bCs/>
          <w:kern w:val="2"/>
          <w:sz w:val="24"/>
          <w:szCs w:val="24"/>
          <w14:ligatures w14:val="standardContextual"/>
        </w:rPr>
        <w:t>οι περιβαλλοντικές προβλέψεις του ΝΟΚ είναι απαραίτητες σε μια περίοδο κλιματικής κρίσης</w:t>
      </w:r>
      <w:r w:rsidRPr="003C0C34">
        <w:rPr>
          <w:rFonts w:eastAsiaTheme="minorHAnsi" w:cs="Arial"/>
          <w:kern w:val="2"/>
          <w:sz w:val="24"/>
          <w:szCs w:val="24"/>
          <w14:ligatures w14:val="standardContextual"/>
        </w:rPr>
        <w:t xml:space="preserve">, όπως άλλωστε αποδεικνύει και η μελέτη του ΤΕΕ που κατατέθηκε στο </w:t>
      </w:r>
      <w:proofErr w:type="spellStart"/>
      <w:r w:rsidRPr="003C0C34">
        <w:rPr>
          <w:rFonts w:eastAsiaTheme="minorHAnsi" w:cs="Arial"/>
          <w:kern w:val="2"/>
          <w:sz w:val="24"/>
          <w:szCs w:val="24"/>
          <w14:ligatures w14:val="standardContextual"/>
        </w:rPr>
        <w:t>ΣτΕ</w:t>
      </w:r>
      <w:proofErr w:type="spellEnd"/>
      <w:r w:rsidRPr="003C0C34">
        <w:rPr>
          <w:rFonts w:eastAsiaTheme="minorHAnsi" w:cs="Arial"/>
          <w:kern w:val="2"/>
          <w:sz w:val="24"/>
          <w:szCs w:val="24"/>
          <w14:ligatures w14:val="standardContextual"/>
        </w:rPr>
        <w:t>.</w:t>
      </w:r>
    </w:p>
    <w:p w14:paraId="28E510AC" w14:textId="77777777" w:rsidR="003C0C34" w:rsidRDefault="003C0C34" w:rsidP="003C0C34">
      <w:pPr>
        <w:spacing w:after="0" w:line="240" w:lineRule="auto"/>
        <w:jc w:val="both"/>
        <w:rPr>
          <w:rFonts w:eastAsiaTheme="minorHAnsi" w:cs="Arial"/>
          <w:kern w:val="2"/>
          <w:sz w:val="24"/>
          <w:szCs w:val="24"/>
          <w14:ligatures w14:val="standardContextual"/>
        </w:rPr>
      </w:pPr>
    </w:p>
    <w:p w14:paraId="538996A1" w14:textId="73C35D74"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Επίσης το Συμβούλιο της Επικρατείας, σύμφωνα την ανακοίνωση του Προέδρου του, «έκρινε ότι τα αποτελέσματα της αντισυνταγματικότητας πρέπει να μην καταλάβουν τις οικοδομικές άδειες, των οποίων η υλοποίηση (οικοδομικές εργασίες) έχει αποδεδειγμένα </w:t>
      </w:r>
      <w:r w:rsidRPr="003C0C34">
        <w:rPr>
          <w:rFonts w:eastAsiaTheme="minorHAnsi" w:cs="Arial"/>
          <w:kern w:val="2"/>
          <w:sz w:val="24"/>
          <w:szCs w:val="24"/>
          <w14:ligatures w14:val="standardContextual"/>
        </w:rPr>
        <w:lastRenderedPageBreak/>
        <w:t xml:space="preserve">αρχίσει πριν από την παρούσα ανακοίνωση. Ο περιορισμός των αποτελεσμάτων της αντισυνταγματικότητας δεν καταλαμβάνει εκκρεμείς δίκες», ικανοποιώντας έτσι την ασφάλεια δικαίου, την αρχή της </w:t>
      </w:r>
      <w:proofErr w:type="spellStart"/>
      <w:r w:rsidRPr="003C0C34">
        <w:rPr>
          <w:rFonts w:eastAsiaTheme="minorHAnsi" w:cs="Arial"/>
          <w:kern w:val="2"/>
          <w:sz w:val="24"/>
          <w:szCs w:val="24"/>
          <w14:ligatures w14:val="standardContextual"/>
        </w:rPr>
        <w:t>προβλεψιμότητας</w:t>
      </w:r>
      <w:proofErr w:type="spellEnd"/>
      <w:r w:rsidRPr="003C0C34">
        <w:rPr>
          <w:rFonts w:eastAsiaTheme="minorHAnsi" w:cs="Arial"/>
          <w:kern w:val="2"/>
          <w:sz w:val="24"/>
          <w:szCs w:val="24"/>
          <w14:ligatures w14:val="standardContextual"/>
        </w:rPr>
        <w:t xml:space="preserve"> και της προστατευόμενης εμπιστοσύνης των διοικουμένων. Τα ερωτήματα που τίθενται στο σημείο αυτό είναι τα παρακάτω:</w:t>
      </w:r>
    </w:p>
    <w:p w14:paraId="60648DAE" w14:textId="77777777" w:rsidR="003C0C34" w:rsidRPr="003C0C34" w:rsidRDefault="003C0C34" w:rsidP="003C0C34">
      <w:pPr>
        <w:numPr>
          <w:ilvl w:val="0"/>
          <w:numId w:val="16"/>
        </w:numPr>
        <w:spacing w:after="0" w:line="240" w:lineRule="auto"/>
        <w:contextualSpacing/>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Είναι δίκαιο σε δύο όμοια γειτονικά οικόπεδα με την ίδια εφαρμογή του ΝΟΚ στα οποία έχουν ξεκινήσει οι εργασίες, στο ένα να ολοκληρωθούν οι εργασίες επειδή δεν έχει γίνει προσφυγή και το άλλο στο οποίο έχει γίνει προσφυγή να μην μπορεί να </w:t>
      </w:r>
      <w:proofErr w:type="spellStart"/>
      <w:r w:rsidRPr="003C0C34">
        <w:rPr>
          <w:rFonts w:eastAsiaTheme="minorHAnsi" w:cs="Arial"/>
          <w:kern w:val="2"/>
          <w:sz w:val="24"/>
          <w:szCs w:val="24"/>
          <w14:ligatures w14:val="standardContextual"/>
        </w:rPr>
        <w:t>οικοδομηθεί</w:t>
      </w:r>
      <w:proofErr w:type="spellEnd"/>
      <w:r w:rsidRPr="003C0C34">
        <w:rPr>
          <w:rFonts w:eastAsiaTheme="minorHAnsi" w:cs="Arial"/>
          <w:kern w:val="2"/>
          <w:sz w:val="24"/>
          <w:szCs w:val="24"/>
          <w14:ligatures w14:val="standardContextual"/>
        </w:rPr>
        <w:t xml:space="preserve"> σύμφωνα με την άδεια που νόμιμα εκδόθηκε και να είναι αβέβαιο το μέλλον του;</w:t>
      </w:r>
    </w:p>
    <w:p w14:paraId="0C9C3B55" w14:textId="3A354142" w:rsidR="003C0C34" w:rsidRPr="003C0C34" w:rsidRDefault="003C0C34" w:rsidP="003C0C34">
      <w:pPr>
        <w:numPr>
          <w:ilvl w:val="0"/>
          <w:numId w:val="16"/>
        </w:numPr>
        <w:spacing w:after="0" w:line="240" w:lineRule="auto"/>
        <w:contextualSpacing/>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Είναι δίκαιο να μπορεί να ολοκληρωθεί μια οικοδομή που μόλις ξεκίνησε σύμφωνα με την οικοδομική άδεια, αλλά το γειτονικό με την ίδια άδεια που βρίσκεται σε λιγότερο προχωρημένο στάδιο να πρέπει παραμείνει ημιτελ</w:t>
      </w:r>
      <w:r w:rsidR="00640EEF">
        <w:rPr>
          <w:rFonts w:eastAsiaTheme="minorHAnsi" w:cs="Arial"/>
          <w:kern w:val="2"/>
          <w:sz w:val="24"/>
          <w:szCs w:val="24"/>
          <w14:ligatures w14:val="standardContextual"/>
        </w:rPr>
        <w:t>ή</w:t>
      </w:r>
      <w:r w:rsidRPr="003C0C34">
        <w:rPr>
          <w:rFonts w:eastAsiaTheme="minorHAnsi" w:cs="Arial"/>
          <w:kern w:val="2"/>
          <w:sz w:val="24"/>
          <w:szCs w:val="24"/>
          <w14:ligatures w14:val="standardContextual"/>
        </w:rPr>
        <w:t>ς με αβέβαιο μέλλον;</w:t>
      </w:r>
    </w:p>
    <w:p w14:paraId="609CEDAA" w14:textId="1C90187F" w:rsidR="003C0C34" w:rsidRPr="003C0C34" w:rsidRDefault="003C0C34" w:rsidP="003C0C34">
      <w:pPr>
        <w:numPr>
          <w:ilvl w:val="0"/>
          <w:numId w:val="16"/>
        </w:numPr>
        <w:spacing w:after="0" w:line="240" w:lineRule="auto"/>
        <w:contextualSpacing/>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Είναι δίκαιο σε ένα οικόπεδο με νόμιμη οικοδομική άδεια να μπορεί να ολοκληρωθούν οι εργασίες επειδή ξεκίνησαν την 11/1</w:t>
      </w:r>
      <w:r w:rsidR="00056407">
        <w:rPr>
          <w:rFonts w:eastAsiaTheme="minorHAnsi" w:cs="Arial"/>
          <w:kern w:val="2"/>
          <w:sz w:val="24"/>
          <w:szCs w:val="24"/>
          <w14:ligatures w14:val="standardContextual"/>
        </w:rPr>
        <w:t>2</w:t>
      </w:r>
      <w:r w:rsidRPr="003C0C34">
        <w:rPr>
          <w:rFonts w:eastAsiaTheme="minorHAnsi" w:cs="Arial"/>
          <w:kern w:val="2"/>
          <w:sz w:val="24"/>
          <w:szCs w:val="24"/>
          <w14:ligatures w14:val="standardContextual"/>
        </w:rPr>
        <w:t>/202</w:t>
      </w:r>
      <w:r w:rsidR="00056407">
        <w:rPr>
          <w:rFonts w:eastAsiaTheme="minorHAnsi" w:cs="Arial"/>
          <w:kern w:val="2"/>
          <w:sz w:val="24"/>
          <w:szCs w:val="24"/>
          <w14:ligatures w14:val="standardContextual"/>
        </w:rPr>
        <w:t>4</w:t>
      </w:r>
      <w:r w:rsidRPr="003C0C34">
        <w:rPr>
          <w:rFonts w:eastAsiaTheme="minorHAnsi" w:cs="Arial"/>
          <w:kern w:val="2"/>
          <w:sz w:val="24"/>
          <w:szCs w:val="24"/>
          <w14:ligatures w14:val="standardContextual"/>
        </w:rPr>
        <w:t>, ενώ στο διπλανό με ίδια οικοδομική άδεια ο πολίτης να μην μπορεί να εφαρμόσει τη νόμιμη οικοδομική άδεια επειδή ξεκίνησε τις εργασίες στις 12/12/202</w:t>
      </w:r>
      <w:r w:rsidR="00056407">
        <w:rPr>
          <w:rFonts w:eastAsiaTheme="minorHAnsi" w:cs="Arial"/>
          <w:kern w:val="2"/>
          <w:sz w:val="24"/>
          <w:szCs w:val="24"/>
          <w14:ligatures w14:val="standardContextual"/>
        </w:rPr>
        <w:t>4</w:t>
      </w:r>
      <w:r w:rsidRPr="003C0C34">
        <w:rPr>
          <w:rFonts w:eastAsiaTheme="minorHAnsi" w:cs="Arial"/>
          <w:kern w:val="2"/>
          <w:sz w:val="24"/>
          <w:szCs w:val="24"/>
          <w14:ligatures w14:val="standardContextual"/>
        </w:rPr>
        <w:t xml:space="preserve">, δηλαδή μια ημέρα αργότερα, μετά από δελτίο τύπου του </w:t>
      </w:r>
      <w:proofErr w:type="spellStart"/>
      <w:r w:rsidRPr="003C0C34">
        <w:rPr>
          <w:rFonts w:eastAsiaTheme="minorHAnsi" w:cs="Arial"/>
          <w:kern w:val="2"/>
          <w:sz w:val="24"/>
          <w:szCs w:val="24"/>
          <w14:ligatures w14:val="standardContextual"/>
        </w:rPr>
        <w:t>ΣτΕ</w:t>
      </w:r>
      <w:proofErr w:type="spellEnd"/>
      <w:r w:rsidRPr="003C0C34">
        <w:rPr>
          <w:rFonts w:eastAsiaTheme="minorHAnsi" w:cs="Arial"/>
          <w:kern w:val="2"/>
          <w:sz w:val="24"/>
          <w:szCs w:val="24"/>
          <w14:ligatures w14:val="standardContextual"/>
        </w:rPr>
        <w:t>, δηλαδή χωρίς να υπάρχει καν η δημοσίευση της απόφασης;</w:t>
      </w:r>
    </w:p>
    <w:p w14:paraId="7F567F07" w14:textId="77777777" w:rsidR="003C0C34" w:rsidRPr="003C0C34" w:rsidRDefault="003C0C34" w:rsidP="003C0C34">
      <w:pPr>
        <w:numPr>
          <w:ilvl w:val="0"/>
          <w:numId w:val="16"/>
        </w:numPr>
        <w:spacing w:after="0" w:line="240" w:lineRule="auto"/>
        <w:contextualSpacing/>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Είναι αυτή η εφαρμογή της ασφάλειας δικαίου, της αρχή της </w:t>
      </w:r>
      <w:proofErr w:type="spellStart"/>
      <w:r w:rsidRPr="003C0C34">
        <w:rPr>
          <w:rFonts w:eastAsiaTheme="minorHAnsi" w:cs="Arial"/>
          <w:kern w:val="2"/>
          <w:sz w:val="24"/>
          <w:szCs w:val="24"/>
          <w14:ligatures w14:val="standardContextual"/>
        </w:rPr>
        <w:t>προβλεψιμότητας</w:t>
      </w:r>
      <w:proofErr w:type="spellEnd"/>
      <w:r w:rsidRPr="003C0C34">
        <w:rPr>
          <w:rFonts w:eastAsiaTheme="minorHAnsi" w:cs="Arial"/>
          <w:kern w:val="2"/>
          <w:sz w:val="24"/>
          <w:szCs w:val="24"/>
          <w14:ligatures w14:val="standardContextual"/>
        </w:rPr>
        <w:t xml:space="preserve"> και της προστατευόμενης εμπιστοσύνης των διοικουμένων;</w:t>
      </w:r>
    </w:p>
    <w:p w14:paraId="57832BC3" w14:textId="77777777" w:rsidR="003C0C34" w:rsidRDefault="003C0C34" w:rsidP="003C0C34">
      <w:pPr>
        <w:spacing w:after="0" w:line="240" w:lineRule="auto"/>
        <w:jc w:val="both"/>
        <w:rPr>
          <w:rFonts w:eastAsiaTheme="minorHAnsi" w:cs="Arial"/>
          <w:kern w:val="2"/>
          <w:sz w:val="24"/>
          <w:szCs w:val="24"/>
          <w14:ligatures w14:val="standardContextual"/>
        </w:rPr>
      </w:pPr>
    </w:p>
    <w:p w14:paraId="34541B71" w14:textId="76BD4EC1"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Επειδή όπως αναφέρθηκε εξαρχής δεν έχει εκδοθεί η απόφαση του </w:t>
      </w:r>
      <w:proofErr w:type="spellStart"/>
      <w:r w:rsidRPr="003C0C34">
        <w:rPr>
          <w:rFonts w:eastAsiaTheme="minorHAnsi" w:cs="Arial"/>
          <w:kern w:val="2"/>
          <w:sz w:val="24"/>
          <w:szCs w:val="24"/>
          <w14:ligatures w14:val="standardContextual"/>
        </w:rPr>
        <w:t>ΣτΕ</w:t>
      </w:r>
      <w:proofErr w:type="spellEnd"/>
      <w:r w:rsidRPr="003C0C34">
        <w:rPr>
          <w:rFonts w:eastAsiaTheme="minorHAnsi" w:cs="Arial"/>
          <w:kern w:val="2"/>
          <w:sz w:val="24"/>
          <w:szCs w:val="24"/>
          <w14:ligatures w14:val="standardContextual"/>
        </w:rPr>
        <w:t>, ελπίζουμε σε αυτή να αποτυπωθεί το δίκαιο για όλους τους πολίτες και η εφαρμογή των παραπάνω αρχών που ορθά προβλέπει το Σύνταγμα της Χώρας.</w:t>
      </w:r>
    </w:p>
    <w:p w14:paraId="082255EF" w14:textId="2847702B" w:rsidR="003C0C34" w:rsidRDefault="003C0C34" w:rsidP="003C0C34">
      <w:pPr>
        <w:spacing w:after="0" w:line="240" w:lineRule="auto"/>
        <w:jc w:val="both"/>
        <w:rPr>
          <w:rFonts w:eastAsiaTheme="minorHAnsi" w:cs="Arial"/>
          <w:kern w:val="2"/>
          <w:sz w:val="24"/>
          <w:szCs w:val="24"/>
          <w14:ligatures w14:val="standardContextual"/>
        </w:rPr>
      </w:pPr>
    </w:p>
    <w:p w14:paraId="19AD871C" w14:textId="5A83AA1F" w:rsidR="003C0C34" w:rsidRPr="003C0C34"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Και πρέπει όλοι να μελετήσουμε ουσιαστικά την απόφαση για να καταλάβουμε το σκεπτικό του δικαστηρίου. Επομένως, μέχρι τότε, κάθε επί της ουσίας τοποθέτηση, αφού δεν γνωρίζουμε ούτε το πλήρες σκεπτικό ούτε το πλήρες διατακτικό της απόφασης, είναι χωρίς βάση.</w:t>
      </w:r>
    </w:p>
    <w:p w14:paraId="3701E97A" w14:textId="77777777" w:rsidR="003C0C34" w:rsidRDefault="003C0C34" w:rsidP="003C0C34">
      <w:pPr>
        <w:spacing w:after="0" w:line="240" w:lineRule="auto"/>
        <w:jc w:val="both"/>
        <w:rPr>
          <w:rFonts w:eastAsiaTheme="minorHAnsi" w:cs="Arial"/>
          <w:kern w:val="2"/>
          <w:sz w:val="24"/>
          <w:szCs w:val="24"/>
          <w14:ligatures w14:val="standardContextual"/>
        </w:rPr>
      </w:pPr>
    </w:p>
    <w:p w14:paraId="251E0996" w14:textId="05D80658" w:rsidR="00E216E7" w:rsidRDefault="003C0C34" w:rsidP="003C0C34">
      <w:pPr>
        <w:spacing w:after="0" w:line="240" w:lineRule="auto"/>
        <w:jc w:val="both"/>
        <w:rPr>
          <w:rFonts w:eastAsiaTheme="minorHAnsi" w:cs="Arial"/>
          <w:kern w:val="2"/>
          <w:sz w:val="24"/>
          <w:szCs w:val="24"/>
          <w14:ligatures w14:val="standardContextual"/>
        </w:rPr>
      </w:pPr>
      <w:r w:rsidRPr="003C0C34">
        <w:rPr>
          <w:rFonts w:eastAsiaTheme="minorHAnsi" w:cs="Arial"/>
          <w:kern w:val="2"/>
          <w:sz w:val="24"/>
          <w:szCs w:val="24"/>
          <w14:ligatures w14:val="standardContextual"/>
        </w:rPr>
        <w:t xml:space="preserve">Η Πολιτεία συνολικά οφείλει να μεριμνήσει ώστε οι επιλογές που γίνονται στο αστικό περιβάλλον καλύπτουν τις ανάγκες της κοινωνίας και τα ζητούμενα όχι μόνο του σήμερα αλλά και του αύριο, άρα και τα δικαιώματα των επόμενων γενεών. </w:t>
      </w:r>
      <w:r w:rsidR="00E216E7">
        <w:rPr>
          <w:rFonts w:eastAsiaTheme="minorHAnsi" w:cs="Arial"/>
          <w:kern w:val="2"/>
          <w:sz w:val="24"/>
          <w:szCs w:val="24"/>
          <w14:ligatures w14:val="standardContextual"/>
        </w:rPr>
        <w:t>Τα δικαιώματα των πολιτών σήμερα και αύριο.</w:t>
      </w:r>
    </w:p>
    <w:p w14:paraId="0599FA12" w14:textId="77777777" w:rsidR="003C0C34" w:rsidRDefault="003C0C34" w:rsidP="003C0C34">
      <w:pPr>
        <w:spacing w:after="0" w:line="240" w:lineRule="auto"/>
        <w:jc w:val="both"/>
        <w:rPr>
          <w:rFonts w:eastAsiaTheme="minorHAnsi" w:cs="Arial"/>
          <w:kern w:val="2"/>
          <w:sz w:val="24"/>
          <w:szCs w:val="24"/>
          <w14:ligatures w14:val="standardContextual"/>
        </w:rPr>
      </w:pPr>
    </w:p>
    <w:p w14:paraId="50DC5329" w14:textId="77777777" w:rsidR="003C0C34" w:rsidRPr="003C0C34" w:rsidRDefault="003C0C34" w:rsidP="003C0C34">
      <w:pPr>
        <w:spacing w:after="0" w:line="240" w:lineRule="auto"/>
        <w:jc w:val="both"/>
        <w:rPr>
          <w:rFonts w:eastAsiaTheme="minorHAnsi" w:cs="Arial"/>
          <w:kern w:val="2"/>
          <w:sz w:val="24"/>
          <w:szCs w:val="24"/>
          <w14:ligatures w14:val="standardContextual"/>
        </w:rPr>
      </w:pPr>
    </w:p>
    <w:p w14:paraId="416CB380" w14:textId="673CE865" w:rsidR="00FD0219" w:rsidRDefault="000F6003" w:rsidP="00E36973">
      <w:pPr>
        <w:shd w:val="clear" w:color="auto" w:fill="FFFFFF"/>
        <w:spacing w:after="0" w:line="240" w:lineRule="auto"/>
        <w:jc w:val="center"/>
        <w:rPr>
          <w:rFonts w:cs="Arial"/>
          <w:b/>
          <w:bCs/>
          <w:i/>
          <w:iCs/>
          <w:sz w:val="16"/>
          <w:szCs w:val="16"/>
        </w:rPr>
      </w:pPr>
      <w:r>
        <w:rPr>
          <w:rFonts w:cs="Arial"/>
          <w:noProof/>
          <w:sz w:val="24"/>
          <w:szCs w:val="24"/>
          <w:lang w:eastAsia="el-GR"/>
        </w:rPr>
        <w:drawing>
          <wp:inline distT="0" distB="0" distL="0" distR="0" wp14:anchorId="3231A783" wp14:editId="6945A742">
            <wp:extent cx="6038823" cy="1765300"/>
            <wp:effectExtent l="0" t="0" r="635" b="6350"/>
            <wp:docPr id="71884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46041" name="Picture 7188460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823" cy="1765300"/>
                    </a:xfrm>
                    <a:prstGeom prst="rect">
                      <a:avLst/>
                    </a:prstGeom>
                  </pic:spPr>
                </pic:pic>
              </a:graphicData>
            </a:graphic>
          </wp:inline>
        </w:drawing>
      </w:r>
    </w:p>
    <w:sectPr w:rsidR="00FD0219" w:rsidSect="007E3388">
      <w:footerReference w:type="default" r:id="rId10"/>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0346" w14:textId="77777777" w:rsidR="00D012CD" w:rsidRDefault="00D012CD" w:rsidP="007D39CD">
      <w:pPr>
        <w:spacing w:after="0" w:line="240" w:lineRule="auto"/>
      </w:pPr>
      <w:r>
        <w:separator/>
      </w:r>
    </w:p>
  </w:endnote>
  <w:endnote w:type="continuationSeparator" w:id="0">
    <w:p w14:paraId="0FE36777" w14:textId="77777777" w:rsidR="00D012CD" w:rsidRDefault="00D012CD" w:rsidP="007D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649E" w14:textId="77777777" w:rsidR="00247068" w:rsidRPr="00C47209" w:rsidRDefault="00247068" w:rsidP="00247068">
    <w:pPr>
      <w:pStyle w:val="Footer"/>
      <w:pBdr>
        <w:top w:val="thickThinSmallGap" w:sz="24" w:space="1" w:color="2F5496"/>
      </w:pBdr>
      <w:rPr>
        <w:rFonts w:ascii="Cambria" w:hAnsi="Cambria"/>
        <w:lang w:val="pt-PT"/>
      </w:rPr>
    </w:pPr>
    <w:r w:rsidRPr="00C24DED">
      <w:rPr>
        <w:b/>
        <w:i/>
      </w:rPr>
      <w:t xml:space="preserve">ΓΡΑΦΕΙΟ ΤΥΠΟΥ – </w:t>
    </w:r>
    <w:r>
      <w:rPr>
        <w:b/>
        <w:i/>
      </w:rPr>
      <w:t>Νίκης</w:t>
    </w:r>
    <w:r w:rsidRPr="00C24DED">
      <w:rPr>
        <w:b/>
        <w:i/>
      </w:rPr>
      <w:t xml:space="preserve"> 4 – Αθήνα – </w:t>
    </w:r>
    <w:proofErr w:type="spellStart"/>
    <w:r w:rsidRPr="00C24DED">
      <w:rPr>
        <w:b/>
        <w:i/>
      </w:rPr>
      <w:t>Τηλ</w:t>
    </w:r>
    <w:proofErr w:type="spellEnd"/>
    <w:r w:rsidRPr="00C24DED">
      <w:rPr>
        <w:b/>
        <w:i/>
      </w:rPr>
      <w:t>. 210 32.91.</w:t>
    </w:r>
    <w:r w:rsidRPr="00232FA1">
      <w:rPr>
        <w:b/>
        <w:i/>
      </w:rPr>
      <w:t>629</w:t>
    </w:r>
    <w:r w:rsidRPr="00C24DED">
      <w:rPr>
        <w:b/>
        <w:i/>
      </w:rPr>
      <w:t xml:space="preserve"> – </w:t>
    </w:r>
    <w:r w:rsidRPr="00C47209">
      <w:rPr>
        <w:b/>
        <w:i/>
        <w:lang w:val="pt-PT"/>
      </w:rPr>
      <w:t xml:space="preserve"> </w:t>
    </w:r>
    <w:r w:rsidRPr="00C24DED">
      <w:rPr>
        <w:b/>
        <w:i/>
        <w:lang w:val="pt-PT"/>
      </w:rPr>
      <w:t>E</w:t>
    </w:r>
    <w:r w:rsidRPr="00C47209">
      <w:rPr>
        <w:b/>
        <w:i/>
        <w:lang w:val="pt-PT"/>
      </w:rPr>
      <w:t>-</w:t>
    </w:r>
    <w:r w:rsidRPr="00C24DED">
      <w:rPr>
        <w:b/>
        <w:i/>
        <w:lang w:val="pt-PT"/>
      </w:rPr>
      <w:t>mail</w:t>
    </w:r>
    <w:r w:rsidRPr="00C47209">
      <w:rPr>
        <w:b/>
        <w:i/>
        <w:lang w:val="pt-PT"/>
      </w:rPr>
      <w:t xml:space="preserve">: </w:t>
    </w:r>
    <w:hyperlink r:id="rId1" w:history="1">
      <w:r w:rsidRPr="00461889">
        <w:rPr>
          <w:rStyle w:val="Hyperlink"/>
          <w:b/>
          <w:i/>
          <w:lang w:val="pt-PT"/>
        </w:rPr>
        <w:t>press@central.tee.gr</w:t>
      </w:r>
    </w:hyperlink>
    <w:r>
      <w:rPr>
        <w:b/>
        <w:i/>
      </w:rPr>
      <w:tab/>
    </w:r>
    <w:r w:rsidR="00741576">
      <w:fldChar w:fldCharType="begin"/>
    </w:r>
    <w:r w:rsidRPr="00C47209">
      <w:rPr>
        <w:lang w:val="pt-PT"/>
      </w:rPr>
      <w:instrText xml:space="preserve"> PAGE   \* MERGEFORMAT </w:instrText>
    </w:r>
    <w:r w:rsidR="00741576">
      <w:fldChar w:fldCharType="separate"/>
    </w:r>
    <w:r w:rsidR="00B866C9" w:rsidRPr="00B866C9">
      <w:rPr>
        <w:noProof/>
      </w:rPr>
      <w:t>1</w:t>
    </w:r>
    <w:r w:rsidR="00741576">
      <w:fldChar w:fldCharType="end"/>
    </w:r>
  </w:p>
  <w:p w14:paraId="1E2CF338" w14:textId="77777777" w:rsidR="00247068" w:rsidRPr="00247068" w:rsidRDefault="00247068">
    <w:pPr>
      <w:pStyle w:val="Footer"/>
      <w:rPr>
        <w:lang w:val="pt-PT"/>
      </w:rPr>
    </w:pPr>
  </w:p>
  <w:p w14:paraId="3D7B5B86" w14:textId="77777777" w:rsidR="00247068" w:rsidRDefault="0024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F8BD7" w14:textId="77777777" w:rsidR="00D012CD" w:rsidRDefault="00D012CD" w:rsidP="007D39CD">
      <w:pPr>
        <w:spacing w:after="0" w:line="240" w:lineRule="auto"/>
      </w:pPr>
      <w:r>
        <w:separator/>
      </w:r>
    </w:p>
  </w:footnote>
  <w:footnote w:type="continuationSeparator" w:id="0">
    <w:p w14:paraId="0F24267A" w14:textId="77777777" w:rsidR="00D012CD" w:rsidRDefault="00D012CD" w:rsidP="007D3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D6061"/>
    <w:multiLevelType w:val="hybridMultilevel"/>
    <w:tmpl w:val="F3361B32"/>
    <w:lvl w:ilvl="0" w:tplc="52E48F34">
      <w:start w:val="2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7103BE"/>
    <w:multiLevelType w:val="hybridMultilevel"/>
    <w:tmpl w:val="8D02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F1EE1"/>
    <w:multiLevelType w:val="hybridMultilevel"/>
    <w:tmpl w:val="A71E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6156B"/>
    <w:multiLevelType w:val="hybridMultilevel"/>
    <w:tmpl w:val="7F22B384"/>
    <w:lvl w:ilvl="0" w:tplc="BE4E351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463"/>
    <w:multiLevelType w:val="hybridMultilevel"/>
    <w:tmpl w:val="FBB4D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B75787"/>
    <w:multiLevelType w:val="hybridMultilevel"/>
    <w:tmpl w:val="AE186D08"/>
    <w:lvl w:ilvl="0" w:tplc="72CEBDE0">
      <w:start w:val="12"/>
      <w:numFmt w:val="bullet"/>
      <w:lvlText w:val="-"/>
      <w:lvlJc w:val="left"/>
      <w:pPr>
        <w:ind w:left="720" w:hanging="360"/>
      </w:pPr>
      <w:rPr>
        <w:rFonts w:ascii="Arial" w:eastAsia="Times New Roman"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274BE"/>
    <w:multiLevelType w:val="hybridMultilevel"/>
    <w:tmpl w:val="DB6A3112"/>
    <w:lvl w:ilvl="0" w:tplc="52E48F34">
      <w:start w:val="2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5D2073"/>
    <w:multiLevelType w:val="hybridMultilevel"/>
    <w:tmpl w:val="232C9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27A4DB1"/>
    <w:multiLevelType w:val="hybridMultilevel"/>
    <w:tmpl w:val="90381DC2"/>
    <w:lvl w:ilvl="0" w:tplc="532E8366">
      <w:numFmt w:val="bullet"/>
      <w:lvlText w:val="-"/>
      <w:lvlJc w:val="left"/>
      <w:pPr>
        <w:ind w:left="360" w:hanging="360"/>
      </w:pPr>
      <w:rPr>
        <w:rFonts w:ascii="Arial" w:eastAsiaTheme="minorHAns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2A36E06"/>
    <w:multiLevelType w:val="hybridMultilevel"/>
    <w:tmpl w:val="6C183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5486F50"/>
    <w:multiLevelType w:val="hybridMultilevel"/>
    <w:tmpl w:val="5B04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D10714"/>
    <w:multiLevelType w:val="hybridMultilevel"/>
    <w:tmpl w:val="D1EE35F2"/>
    <w:lvl w:ilvl="0" w:tplc="6AC44A46">
      <w:numFmt w:val="bullet"/>
      <w:lvlText w:val="-"/>
      <w:lvlJc w:val="left"/>
      <w:pPr>
        <w:ind w:left="360" w:hanging="360"/>
      </w:pPr>
      <w:rPr>
        <w:rFonts w:ascii="Arial" w:eastAsiaTheme="minorHAns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A1346E1"/>
    <w:multiLevelType w:val="hybridMultilevel"/>
    <w:tmpl w:val="12C453BA"/>
    <w:lvl w:ilvl="0" w:tplc="65C23566">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E1809"/>
    <w:multiLevelType w:val="hybridMultilevel"/>
    <w:tmpl w:val="62EEA800"/>
    <w:lvl w:ilvl="0" w:tplc="52E48F34">
      <w:start w:val="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C6D7E"/>
    <w:multiLevelType w:val="hybridMultilevel"/>
    <w:tmpl w:val="B14A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F5504"/>
    <w:multiLevelType w:val="hybridMultilevel"/>
    <w:tmpl w:val="AA0E5960"/>
    <w:lvl w:ilvl="0" w:tplc="A3FA3F96">
      <w:start w:val="8"/>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855398"/>
    <w:multiLevelType w:val="hybridMultilevel"/>
    <w:tmpl w:val="68669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6353727">
    <w:abstractNumId w:val="13"/>
  </w:num>
  <w:num w:numId="2" w16cid:durableId="781806825">
    <w:abstractNumId w:val="15"/>
  </w:num>
  <w:num w:numId="3" w16cid:durableId="1594701421">
    <w:abstractNumId w:val="5"/>
  </w:num>
  <w:num w:numId="4" w16cid:durableId="1876847034">
    <w:abstractNumId w:val="7"/>
  </w:num>
  <w:num w:numId="5" w16cid:durableId="2042240294">
    <w:abstractNumId w:val="14"/>
  </w:num>
  <w:num w:numId="6" w16cid:durableId="11491039">
    <w:abstractNumId w:val="6"/>
  </w:num>
  <w:num w:numId="7" w16cid:durableId="739132422">
    <w:abstractNumId w:val="3"/>
  </w:num>
  <w:num w:numId="8" w16cid:durableId="1077748498">
    <w:abstractNumId w:val="2"/>
  </w:num>
  <w:num w:numId="9" w16cid:durableId="1030226893">
    <w:abstractNumId w:val="16"/>
  </w:num>
  <w:num w:numId="10" w16cid:durableId="1486166438">
    <w:abstractNumId w:val="9"/>
  </w:num>
  <w:num w:numId="11" w16cid:durableId="2010280833">
    <w:abstractNumId w:val="11"/>
  </w:num>
  <w:num w:numId="12" w16cid:durableId="1980107160">
    <w:abstractNumId w:val="8"/>
  </w:num>
  <w:num w:numId="13" w16cid:durableId="794371966">
    <w:abstractNumId w:val="10"/>
  </w:num>
  <w:num w:numId="14" w16cid:durableId="1147429060">
    <w:abstractNumId w:val="0"/>
  </w:num>
  <w:num w:numId="15" w16cid:durableId="665789823">
    <w:abstractNumId w:val="4"/>
  </w:num>
  <w:num w:numId="16" w16cid:durableId="1727996526">
    <w:abstractNumId w:val="1"/>
  </w:num>
  <w:num w:numId="17" w16cid:durableId="1182204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FB"/>
    <w:rsid w:val="00056407"/>
    <w:rsid w:val="00060532"/>
    <w:rsid w:val="00083DED"/>
    <w:rsid w:val="000A0401"/>
    <w:rsid w:val="000B3377"/>
    <w:rsid w:val="000F6003"/>
    <w:rsid w:val="00145EDB"/>
    <w:rsid w:val="00172AD5"/>
    <w:rsid w:val="001732B4"/>
    <w:rsid w:val="001C1274"/>
    <w:rsid w:val="001C7E7A"/>
    <w:rsid w:val="001D790A"/>
    <w:rsid w:val="001F5A24"/>
    <w:rsid w:val="0020695A"/>
    <w:rsid w:val="00221580"/>
    <w:rsid w:val="00247068"/>
    <w:rsid w:val="00257D6D"/>
    <w:rsid w:val="002A693D"/>
    <w:rsid w:val="002D1745"/>
    <w:rsid w:val="0033526C"/>
    <w:rsid w:val="00353CB0"/>
    <w:rsid w:val="00377AE0"/>
    <w:rsid w:val="003920C9"/>
    <w:rsid w:val="003C0C34"/>
    <w:rsid w:val="003F0338"/>
    <w:rsid w:val="003F43FE"/>
    <w:rsid w:val="00416495"/>
    <w:rsid w:val="00446517"/>
    <w:rsid w:val="00470B93"/>
    <w:rsid w:val="004774C8"/>
    <w:rsid w:val="004B31E6"/>
    <w:rsid w:val="004E1256"/>
    <w:rsid w:val="004E2B0F"/>
    <w:rsid w:val="004F3F29"/>
    <w:rsid w:val="00537D3E"/>
    <w:rsid w:val="00550975"/>
    <w:rsid w:val="00565AB6"/>
    <w:rsid w:val="005901B7"/>
    <w:rsid w:val="006350A4"/>
    <w:rsid w:val="00640EEF"/>
    <w:rsid w:val="00681460"/>
    <w:rsid w:val="006926D8"/>
    <w:rsid w:val="006B24E6"/>
    <w:rsid w:val="006E087D"/>
    <w:rsid w:val="006F65D7"/>
    <w:rsid w:val="00702F56"/>
    <w:rsid w:val="00730F83"/>
    <w:rsid w:val="007337EC"/>
    <w:rsid w:val="007358DB"/>
    <w:rsid w:val="00741576"/>
    <w:rsid w:val="00756D99"/>
    <w:rsid w:val="00757D30"/>
    <w:rsid w:val="007710A8"/>
    <w:rsid w:val="007D39CD"/>
    <w:rsid w:val="007E3388"/>
    <w:rsid w:val="007E618D"/>
    <w:rsid w:val="00820F86"/>
    <w:rsid w:val="008667EB"/>
    <w:rsid w:val="00875881"/>
    <w:rsid w:val="00895A43"/>
    <w:rsid w:val="008C4A6E"/>
    <w:rsid w:val="008F46F1"/>
    <w:rsid w:val="00971EEC"/>
    <w:rsid w:val="009852F6"/>
    <w:rsid w:val="009A3B8A"/>
    <w:rsid w:val="009A5682"/>
    <w:rsid w:val="009B40B3"/>
    <w:rsid w:val="009F3A2B"/>
    <w:rsid w:val="009F6338"/>
    <w:rsid w:val="00A20DA9"/>
    <w:rsid w:val="00A241C5"/>
    <w:rsid w:val="00A41B6E"/>
    <w:rsid w:val="00A56097"/>
    <w:rsid w:val="00A73B81"/>
    <w:rsid w:val="00AC2A55"/>
    <w:rsid w:val="00AD030D"/>
    <w:rsid w:val="00AF1BB6"/>
    <w:rsid w:val="00B15CB1"/>
    <w:rsid w:val="00B52506"/>
    <w:rsid w:val="00B73433"/>
    <w:rsid w:val="00B866C9"/>
    <w:rsid w:val="00B938FC"/>
    <w:rsid w:val="00B968EB"/>
    <w:rsid w:val="00BB5F7F"/>
    <w:rsid w:val="00BD368A"/>
    <w:rsid w:val="00C047CE"/>
    <w:rsid w:val="00C12F1F"/>
    <w:rsid w:val="00C2482C"/>
    <w:rsid w:val="00C3683D"/>
    <w:rsid w:val="00C4154A"/>
    <w:rsid w:val="00C47E58"/>
    <w:rsid w:val="00C70706"/>
    <w:rsid w:val="00C91725"/>
    <w:rsid w:val="00CB35F9"/>
    <w:rsid w:val="00CE26B3"/>
    <w:rsid w:val="00CE3F11"/>
    <w:rsid w:val="00CE57F7"/>
    <w:rsid w:val="00D012CD"/>
    <w:rsid w:val="00D14D4B"/>
    <w:rsid w:val="00D25484"/>
    <w:rsid w:val="00D43324"/>
    <w:rsid w:val="00D7192F"/>
    <w:rsid w:val="00D7772B"/>
    <w:rsid w:val="00DD68B3"/>
    <w:rsid w:val="00E216E7"/>
    <w:rsid w:val="00E221FF"/>
    <w:rsid w:val="00E34302"/>
    <w:rsid w:val="00E36973"/>
    <w:rsid w:val="00E607F1"/>
    <w:rsid w:val="00E74270"/>
    <w:rsid w:val="00E94AD2"/>
    <w:rsid w:val="00EE571B"/>
    <w:rsid w:val="00EE7D65"/>
    <w:rsid w:val="00F63FFB"/>
    <w:rsid w:val="00F87654"/>
    <w:rsid w:val="00FA0040"/>
    <w:rsid w:val="00FA386C"/>
    <w:rsid w:val="00FD0219"/>
    <w:rsid w:val="00FF0458"/>
    <w:rsid w:val="00FF45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0A05"/>
  <w15:docId w15:val="{C17C94D2-4D52-423D-B045-05B655C3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FB"/>
    <w:pPr>
      <w:spacing w:after="80" w:line="336" w:lineRule="auto"/>
    </w:pPr>
    <w:rPr>
      <w:rFonts w:ascii="Arial" w:eastAsia="Times New Roman" w:hAnsi="Arial"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39CD"/>
    <w:pPr>
      <w:spacing w:after="0" w:line="240" w:lineRule="auto"/>
    </w:pPr>
  </w:style>
  <w:style w:type="character" w:customStyle="1" w:styleId="FootnoteTextChar">
    <w:name w:val="Footnote Text Char"/>
    <w:basedOn w:val="DefaultParagraphFont"/>
    <w:link w:val="FootnoteText"/>
    <w:uiPriority w:val="99"/>
    <w:semiHidden/>
    <w:rsid w:val="007D39CD"/>
    <w:rPr>
      <w:rFonts w:ascii="Arial" w:eastAsia="Times New Roman" w:hAnsi="Arial" w:cs="Times New Roman"/>
      <w:kern w:val="0"/>
      <w:sz w:val="20"/>
      <w:szCs w:val="20"/>
    </w:rPr>
  </w:style>
  <w:style w:type="character" w:styleId="FootnoteReference">
    <w:name w:val="footnote reference"/>
    <w:basedOn w:val="DefaultParagraphFont"/>
    <w:uiPriority w:val="99"/>
    <w:semiHidden/>
    <w:unhideWhenUsed/>
    <w:rsid w:val="007D39CD"/>
    <w:rPr>
      <w:vertAlign w:val="superscript"/>
    </w:rPr>
  </w:style>
  <w:style w:type="paragraph" w:styleId="Header">
    <w:name w:val="header"/>
    <w:basedOn w:val="Normal"/>
    <w:link w:val="HeaderChar"/>
    <w:uiPriority w:val="99"/>
    <w:unhideWhenUsed/>
    <w:rsid w:val="00247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068"/>
    <w:rPr>
      <w:rFonts w:ascii="Arial" w:eastAsia="Times New Roman" w:hAnsi="Arial" w:cs="Times New Roman"/>
      <w:kern w:val="0"/>
      <w:sz w:val="20"/>
      <w:szCs w:val="20"/>
    </w:rPr>
  </w:style>
  <w:style w:type="paragraph" w:styleId="Footer">
    <w:name w:val="footer"/>
    <w:basedOn w:val="Normal"/>
    <w:link w:val="FooterChar"/>
    <w:uiPriority w:val="99"/>
    <w:unhideWhenUsed/>
    <w:rsid w:val="00247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068"/>
    <w:rPr>
      <w:rFonts w:ascii="Arial" w:eastAsia="Times New Roman" w:hAnsi="Arial" w:cs="Times New Roman"/>
      <w:kern w:val="0"/>
      <w:sz w:val="20"/>
      <w:szCs w:val="20"/>
    </w:rPr>
  </w:style>
  <w:style w:type="character" w:styleId="Hyperlink">
    <w:name w:val="Hyperlink"/>
    <w:uiPriority w:val="99"/>
    <w:rsid w:val="00247068"/>
    <w:rPr>
      <w:color w:val="0000FF"/>
      <w:u w:val="single"/>
    </w:rPr>
  </w:style>
  <w:style w:type="paragraph" w:styleId="BalloonText">
    <w:name w:val="Balloon Text"/>
    <w:basedOn w:val="Normal"/>
    <w:link w:val="BalloonTextChar"/>
    <w:uiPriority w:val="99"/>
    <w:semiHidden/>
    <w:unhideWhenUsed/>
    <w:rsid w:val="00B86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6C9"/>
    <w:rPr>
      <w:rFonts w:ascii="Tahoma" w:eastAsia="Times New Roman" w:hAnsi="Tahoma" w:cs="Tahoma"/>
      <w:kern w:val="0"/>
      <w:sz w:val="16"/>
      <w:szCs w:val="16"/>
    </w:rPr>
  </w:style>
  <w:style w:type="paragraph" w:styleId="ListParagraph">
    <w:name w:val="List Paragraph"/>
    <w:basedOn w:val="Normal"/>
    <w:uiPriority w:val="34"/>
    <w:qFormat/>
    <w:rsid w:val="009852F6"/>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16495"/>
    <w:rPr>
      <w:color w:val="605E5C"/>
      <w:shd w:val="clear" w:color="auto" w:fill="E1DFDD"/>
    </w:rPr>
  </w:style>
  <w:style w:type="character" w:styleId="Emphasis">
    <w:name w:val="Emphasis"/>
    <w:basedOn w:val="DefaultParagraphFont"/>
    <w:uiPriority w:val="20"/>
    <w:qFormat/>
    <w:rsid w:val="00A241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press@central.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0CE4-174D-47D6-8B24-DC5F4122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Nikolakopoulou</dc:creator>
  <cp:lastModifiedBy>THEOKAR</cp:lastModifiedBy>
  <cp:revision>6</cp:revision>
  <dcterms:created xsi:type="dcterms:W3CDTF">2024-12-12T10:25:00Z</dcterms:created>
  <dcterms:modified xsi:type="dcterms:W3CDTF">2024-12-12T10:51:00Z</dcterms:modified>
</cp:coreProperties>
</file>